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ED" w:rsidRPr="00113EED" w:rsidRDefault="00113EED" w:rsidP="00113EED"/>
    <w:p w:rsidR="00113EED" w:rsidRPr="00113EED" w:rsidRDefault="00113EED" w:rsidP="00113EED">
      <w:r w:rsidRPr="00113EED">
        <w:pict>
          <v:rect id="_x0000_i1161" style="width:467.25pt;height:.75pt" o:hrpct="0" o:hrstd="t" o:hrnoshade="t" o:hr="t" fillcolor="#ddd" stroked="f"/>
        </w:pict>
      </w:r>
    </w:p>
    <w:p w:rsidR="00113EED" w:rsidRPr="00113EED" w:rsidRDefault="00113EED" w:rsidP="00113EED">
      <w:pPr>
        <w:numPr>
          <w:ilvl w:val="0"/>
          <w:numId w:val="1"/>
        </w:numPr>
      </w:pPr>
      <w:bookmarkStart w:id="0" w:name="1"/>
      <w:bookmarkEnd w:id="0"/>
    </w:p>
    <w:p w:rsidR="00113EED" w:rsidRPr="00113EED" w:rsidRDefault="00113EED" w:rsidP="00113EED">
      <w:pPr>
        <w:rPr>
          <w:vanish/>
        </w:rPr>
      </w:pPr>
      <w:r w:rsidRPr="00113EED">
        <w:rPr>
          <w:vanish/>
        </w:rPr>
        <w:t>Øverst i skjemaet</w:t>
      </w:r>
    </w:p>
    <w:p w:rsidR="00113EED" w:rsidRPr="00113EED" w:rsidRDefault="00113EED" w:rsidP="00113EED">
      <w:r w:rsidRPr="00113EED">
        <w:rPr>
          <w:b/>
          <w:bCs/>
        </w:rPr>
        <w:t>1.</w:t>
      </w:r>
    </w:p>
    <w:p w:rsidR="00113EED" w:rsidRPr="00113EED" w:rsidRDefault="00113EED" w:rsidP="00113EED">
      <w:r w:rsidRPr="00113EED">
        <w:rPr>
          <w:b/>
          <w:bCs/>
        </w:rPr>
        <w:t>Hvilke av disse lovbestemmelsene regulerer spørsmålet om kreditorekstinksjon i hjemmelskonflikten?</w:t>
      </w:r>
    </w:p>
    <w:tbl>
      <w:tblPr>
        <w:tblW w:w="9135" w:type="dxa"/>
        <w:tblCellSpacing w:w="75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505"/>
      </w:tblGrid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20.05pt;height:17.55pt" o:ole="">
                  <v:imagedata r:id="rId5" o:title=""/>
                </v:shape>
                <w:control r:id="rId6" w:name="DefaultOcxName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r w:rsidRPr="00113EED">
              <w:t>Ingen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9" type="#_x0000_t75" style="width:20.05pt;height:17.55pt" o:ole="">
                  <v:imagedata r:id="rId7" o:title=""/>
                </v:shape>
                <w:control r:id="rId8" w:name="DefaultOcxName1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Deknl</w:t>
            </w:r>
            <w:proofErr w:type="spellEnd"/>
            <w:r w:rsidRPr="00113EED">
              <w:t xml:space="preserve"> § 2-2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8" type="#_x0000_t75" style="width:20.05pt;height:17.55pt" o:ole="">
                  <v:imagedata r:id="rId7" o:title=""/>
                </v:shape>
                <w:control r:id="rId9" w:name="DefaultOcxName2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Deknl</w:t>
            </w:r>
            <w:proofErr w:type="spellEnd"/>
            <w:r w:rsidRPr="00113EED">
              <w:t>. § 7-3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7" type="#_x0000_t75" style="width:20.05pt;height:17.55pt" o:ole="">
                  <v:imagedata r:id="rId7" o:title=""/>
                </v:shape>
                <w:control r:id="rId10" w:name="DefaultOcxName3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Deknl</w:t>
            </w:r>
            <w:proofErr w:type="spellEnd"/>
            <w:r w:rsidRPr="00113EED">
              <w:t>. § 7-7 (2)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6" type="#_x0000_t75" style="width:20.05pt;height:17.55pt" o:ole="">
                  <v:imagedata r:id="rId7" o:title=""/>
                </v:shape>
                <w:control r:id="rId11" w:name="DefaultOcxName4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Buofl</w:t>
            </w:r>
            <w:proofErr w:type="spellEnd"/>
            <w:r w:rsidRPr="00113EED">
              <w:t>. § 5-8 (3)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5" type="#_x0000_t75" style="width:20.05pt;height:17.55pt" o:ole="">
                  <v:imagedata r:id="rId7" o:title=""/>
                </v:shape>
                <w:control r:id="rId12" w:name="DefaultOcxName5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Avhl</w:t>
            </w:r>
            <w:proofErr w:type="spellEnd"/>
            <w:r w:rsidRPr="00113EED">
              <w:t>. § 5-3 (4)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4" type="#_x0000_t75" style="width:20.05pt;height:17.55pt" o:ole="">
                  <v:imagedata r:id="rId7" o:title=""/>
                </v:shape>
                <w:control r:id="rId13" w:name="DefaultOcxName6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Tgl</w:t>
            </w:r>
            <w:proofErr w:type="spellEnd"/>
            <w:r w:rsidRPr="00113EED">
              <w:t>. § 23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3" type="#_x0000_t75" style="width:20.05pt;height:17.55pt" o:ole="">
                  <v:imagedata r:id="rId7" o:title=""/>
                </v:shape>
                <w:control r:id="rId14" w:name="DefaultOcxName7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Tgl</w:t>
            </w:r>
            <w:proofErr w:type="spellEnd"/>
            <w:r w:rsidRPr="00113EED">
              <w:t>. § 27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2" type="#_x0000_t75" style="width:20.05pt;height:17.55pt" o:ole="">
                  <v:imagedata r:id="rId7" o:title=""/>
                </v:shape>
                <w:control r:id="rId15" w:name="DefaultOcxName8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Ekstl</w:t>
            </w:r>
            <w:proofErr w:type="spellEnd"/>
            <w:r w:rsidRPr="00113EED">
              <w:t xml:space="preserve">. § 1 </w:t>
            </w:r>
            <w:proofErr w:type="spellStart"/>
            <w:r w:rsidRPr="00113EED">
              <w:t>nr</w:t>
            </w:r>
            <w:proofErr w:type="spellEnd"/>
            <w:r w:rsidRPr="00113EED">
              <w:t xml:space="preserve"> 1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201" type="#_x0000_t75" style="width:20.05pt;height:17.55pt" o:ole="">
                  <v:imagedata r:id="rId7" o:title=""/>
                </v:shape>
                <w:control r:id="rId16" w:name="DefaultOcxName9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proofErr w:type="spellStart"/>
            <w:r w:rsidRPr="00113EED">
              <w:t>Avtl</w:t>
            </w:r>
            <w:proofErr w:type="spellEnd"/>
            <w:r w:rsidRPr="00113EED">
              <w:t>. § 34</w:t>
            </w:r>
          </w:p>
        </w:tc>
      </w:tr>
    </w:tbl>
    <w:p w:rsidR="00113EED" w:rsidRPr="00113EED" w:rsidRDefault="00113EED" w:rsidP="00113EED">
      <w:r w:rsidRPr="00113EED">
        <w:t>Feedback:</w:t>
      </w:r>
    </w:p>
    <w:p w:rsidR="00113EED" w:rsidRPr="00113EED" w:rsidRDefault="00113EED" w:rsidP="00113EED">
      <w:r w:rsidRPr="00113EED">
        <w:t>Vi har dessverre ingen regler om kreditorekstinksjon i hjemmelskonflikten (</w:t>
      </w:r>
      <w:proofErr w:type="spellStart"/>
      <w:r w:rsidRPr="00113EED">
        <w:t>høhø</w:t>
      </w:r>
      <w:proofErr w:type="spellEnd"/>
      <w:r w:rsidRPr="00113EED">
        <w:t xml:space="preserve">), </w:t>
      </w:r>
      <w:proofErr w:type="spellStart"/>
      <w:r w:rsidRPr="00113EED">
        <w:t>jf</w:t>
      </w:r>
      <w:proofErr w:type="spellEnd"/>
      <w:r w:rsidRPr="00113EED">
        <w:t xml:space="preserve"> </w:t>
      </w:r>
      <w:proofErr w:type="spellStart"/>
      <w:r w:rsidRPr="00113EED">
        <w:t>rt</w:t>
      </w:r>
      <w:proofErr w:type="spellEnd"/>
      <w:r w:rsidRPr="00113EED">
        <w:t xml:space="preserve"> 2015 s. 979 (Borettslagsandel)</w:t>
      </w:r>
    </w:p>
    <w:p w:rsidR="00113EED" w:rsidRPr="00113EED" w:rsidRDefault="00113EED" w:rsidP="00113EED">
      <w:pPr>
        <w:rPr>
          <w:vanish/>
        </w:rPr>
      </w:pPr>
      <w:r w:rsidRPr="00113EED">
        <w:rPr>
          <w:vanish/>
        </w:rPr>
        <w:t>Nederst i skjemaet</w:t>
      </w:r>
    </w:p>
    <w:p w:rsidR="00113EED" w:rsidRPr="00113EED" w:rsidRDefault="00113EED" w:rsidP="00113EED">
      <w:pPr>
        <w:rPr>
          <w:b/>
          <w:bCs/>
        </w:rPr>
      </w:pPr>
      <w:r w:rsidRPr="00113EED">
        <w:rPr>
          <w:b/>
          <w:bCs/>
        </w:rPr>
        <w:t>  </w:t>
      </w:r>
      <w:r w:rsidRPr="00113EED">
        <w:rPr>
          <w:b/>
          <w:bCs/>
        </w:rPr>
        <w:object w:dxaOrig="1440" w:dyaOrig="1440">
          <v:shape id="_x0000_i1200" type="#_x0000_t75" style="width:102.05pt;height:18.15pt" o:ole="">
            <v:imagedata r:id="rId17" o:title=""/>
          </v:shape>
          <w:control r:id="rId18" w:name="DefaultOcxName10" w:shapeid="_x0000_i1200"/>
        </w:object>
      </w:r>
    </w:p>
    <w:p w:rsidR="00113EED" w:rsidRPr="00113EED" w:rsidRDefault="00113EED" w:rsidP="00113EED">
      <w:pPr>
        <w:numPr>
          <w:ilvl w:val="0"/>
          <w:numId w:val="1"/>
        </w:numPr>
      </w:pPr>
      <w:bookmarkStart w:id="1" w:name="2"/>
      <w:bookmarkEnd w:id="1"/>
    </w:p>
    <w:p w:rsidR="00113EED" w:rsidRPr="00113EED" w:rsidRDefault="00113EED" w:rsidP="00113EED">
      <w:pPr>
        <w:rPr>
          <w:vanish/>
        </w:rPr>
      </w:pPr>
      <w:r w:rsidRPr="00113EED">
        <w:rPr>
          <w:vanish/>
        </w:rPr>
        <w:t>Øverst i skjemaet</w:t>
      </w:r>
    </w:p>
    <w:p w:rsidR="00113EED" w:rsidRPr="00113EED" w:rsidRDefault="00113EED" w:rsidP="00113EED">
      <w:r w:rsidRPr="00113EED">
        <w:rPr>
          <w:b/>
          <w:bCs/>
        </w:rPr>
        <w:t>2.</w:t>
      </w:r>
    </w:p>
    <w:p w:rsidR="00113EED" w:rsidRPr="00113EED" w:rsidRDefault="00113EED" w:rsidP="00113EED">
      <w:r w:rsidRPr="00113EED">
        <w:t xml:space="preserve">For en god stund siden flyttet den unge Hans </w:t>
      </w:r>
      <w:proofErr w:type="spellStart"/>
      <w:r w:rsidRPr="00113EED">
        <w:t>Tastad</w:t>
      </w:r>
      <w:proofErr w:type="spellEnd"/>
      <w:r w:rsidRPr="00113EED">
        <w:t xml:space="preserve"> inn i en umøblert selveierleilighet. Peder Ås var eier og utleier av selveierleiligheten. Hans begynte umiddelbart å fylle opp leiligheten med drøssevis av egne møbler. Det var blant annet tale om sofa, seng, stoler, bord, tv og mye mer. </w:t>
      </w:r>
      <w:r w:rsidRPr="00113EED">
        <w:br/>
      </w:r>
      <w:r w:rsidRPr="00113EED">
        <w:br/>
        <w:t xml:space="preserve">Da Hans fikk seg kjæreste, bodde han mer og mer hos henne. Etterhvert sluttet Hans å betale leie også. Peder viste forståelse til å begynne med, men gikk etterhvert drittlei og hevet kontrakten. (Det </w:t>
      </w:r>
      <w:r w:rsidRPr="00113EED">
        <w:lastRenderedPageBreak/>
        <w:t>var på det rene at Peder hadde hevingsrett). I hevingserklæringen gav Peder Hans en måneds frist til å få ryddet ut alle møblene sine. Hans samtykket.</w:t>
      </w:r>
      <w:r w:rsidRPr="00113EED">
        <w:br/>
      </w:r>
      <w:r w:rsidRPr="00113EED">
        <w:br/>
        <w:t>Etter en uke angret imidlertid Peder på at han hadde gitt Hans en så lang frist til å rydde ut møblene. I mellomtiden gikk jo Peder glipp av solide leieinntekter. Fordi Peder uansett mente at Hans fortjente en smekk på fingrene for de misligholdte leieterminene, bestemte Peder seg for å legge ut leiligheten for utleie på finn.no umiddelbart. I annonsen stod det at leiligheten var "møblert", men ingenting om at møblene tilhørte Hans.</w:t>
      </w:r>
      <w:r w:rsidRPr="00113EED">
        <w:br/>
      </w:r>
      <w:r w:rsidRPr="00113EED">
        <w:br/>
        <w:t>Like etter tok den pliktoppfyllende Marte Kirkerud kontakt med Peder, og inngikk leiekontrakt på tre år. Marte flyttet inn umiddelbart.</w:t>
      </w:r>
      <w:r w:rsidRPr="00113EED">
        <w:br/>
      </w:r>
      <w:r w:rsidRPr="00113EED">
        <w:br/>
        <w:t>Etter noen uker kom Hans innom leiligheten for å hente tingene sine. Der ble han møtt av Marte som slettes ikke var enig i at noen ting skulle hentes.</w:t>
      </w:r>
      <w:r w:rsidRPr="00113EED">
        <w:br/>
      </w:r>
      <w:r w:rsidRPr="00113EED">
        <w:br/>
        <w:t>Hva skal skje med møblene?</w:t>
      </w:r>
      <w:r w:rsidRPr="00113EED">
        <w:br/>
      </w:r>
      <w:r w:rsidRPr="00113EED">
        <w:br/>
        <w:t> </w:t>
      </w:r>
    </w:p>
    <w:tbl>
      <w:tblPr>
        <w:tblW w:w="9135" w:type="dxa"/>
        <w:tblCellSpacing w:w="75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505"/>
      </w:tblGrid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199" type="#_x0000_t75" style="width:20.05pt;height:17.55pt" o:ole="">
                  <v:imagedata r:id="rId5" o:title=""/>
                </v:shape>
                <w:control r:id="rId19" w:name="DefaultOcxName1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r w:rsidRPr="00113EED">
              <w:t>Hans er fortsatt eier av møblene (formelt sett), men må respektere at Marte har rett til å bruke dem i tre år.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198" type="#_x0000_t75" style="width:20.05pt;height:17.55pt" o:ole="">
                  <v:imagedata r:id="rId7" o:title=""/>
                </v:shape>
                <w:control r:id="rId20" w:name="DefaultOcxName12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r w:rsidRPr="00113EED">
              <w:t>Hans kan hente møblene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197" type="#_x0000_t75" style="width:20.05pt;height:17.55pt" o:ole="">
                  <v:imagedata r:id="rId7" o:title=""/>
                </v:shape>
                <w:control r:id="rId21" w:name="DefaultOcxName13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r w:rsidRPr="00113EED">
              <w:t>Hans kan ikke hente møblene</w:t>
            </w:r>
          </w:p>
        </w:tc>
      </w:tr>
      <w:tr w:rsidR="00113EED" w:rsidRPr="00113EED" w:rsidTr="00113EED">
        <w:trPr>
          <w:tblCellSpacing w:w="75" w:type="dxa"/>
        </w:trPr>
        <w:tc>
          <w:tcPr>
            <w:tcW w:w="240" w:type="dxa"/>
            <w:vAlign w:val="center"/>
            <w:hideMark/>
          </w:tcPr>
          <w:p w:rsidR="00113EED" w:rsidRPr="00113EED" w:rsidRDefault="00113EED" w:rsidP="00113EED">
            <w:r w:rsidRPr="00113EED">
              <w:object w:dxaOrig="1440" w:dyaOrig="1440">
                <v:shape id="_x0000_i1196" type="#_x0000_t75" style="width:20.05pt;height:17.55pt" o:ole="">
                  <v:imagedata r:id="rId7" o:title=""/>
                </v:shape>
                <w:control r:id="rId22" w:name="DefaultOcxName14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113EED" w:rsidRPr="00113EED" w:rsidRDefault="00113EED" w:rsidP="00113EED">
            <w:r w:rsidRPr="00113EED">
              <w:t>Peder er eier av møblene og kan bestemme om Hans får hente dem eller ikke</w:t>
            </w:r>
          </w:p>
        </w:tc>
      </w:tr>
    </w:tbl>
    <w:p w:rsidR="00113EED" w:rsidRPr="00113EED" w:rsidRDefault="00113EED" w:rsidP="00113EED">
      <w:r w:rsidRPr="00113EED">
        <w:t>Feedback:</w:t>
      </w:r>
    </w:p>
    <w:p w:rsidR="00113EED" w:rsidRPr="00113EED" w:rsidRDefault="00113EED" w:rsidP="00113EED">
      <w:r w:rsidRPr="00113EED">
        <w:t xml:space="preserve">Long story </w:t>
      </w:r>
      <w:proofErr w:type="spellStart"/>
      <w:r w:rsidRPr="00113EED">
        <w:t>short</w:t>
      </w:r>
      <w:proofErr w:type="spellEnd"/>
      <w:r w:rsidRPr="00113EED">
        <w:t xml:space="preserve">: Marte ekstingverte Hans' rett til møblene da hun flyttet inn i leiligheten, </w:t>
      </w:r>
      <w:proofErr w:type="spellStart"/>
      <w:r w:rsidRPr="00113EED">
        <w:t>jf</w:t>
      </w:r>
      <w:proofErr w:type="spellEnd"/>
      <w:r w:rsidRPr="00113EED">
        <w:t xml:space="preserve"> </w:t>
      </w:r>
      <w:proofErr w:type="spellStart"/>
      <w:r w:rsidRPr="00113EED">
        <w:t>ekstl</w:t>
      </w:r>
      <w:proofErr w:type="spellEnd"/>
      <w:r w:rsidRPr="00113EED">
        <w:t xml:space="preserve">. § 1 </w:t>
      </w:r>
      <w:proofErr w:type="spellStart"/>
      <w:r w:rsidRPr="00113EED">
        <w:t>nr</w:t>
      </w:r>
      <w:proofErr w:type="spellEnd"/>
      <w:r w:rsidRPr="00113EED">
        <w:t xml:space="preserve"> 1.</w:t>
      </w:r>
      <w:r w:rsidRPr="00113EED">
        <w:br/>
      </w:r>
      <w:r w:rsidRPr="00113EED">
        <w:br/>
        <w:t>- Det er på det rene at møblene er "</w:t>
      </w:r>
      <w:proofErr w:type="spellStart"/>
      <w:r w:rsidRPr="00113EED">
        <w:t>løsøreting</w:t>
      </w:r>
      <w:proofErr w:type="spellEnd"/>
      <w:r w:rsidRPr="00113EED">
        <w:t xml:space="preserve">" og ikke en del av den faste eiendommen. I juridisk teori pekes det på at denne grensen må trekkes på grunnlag av reglene om tilbehør til fast eiendom, se </w:t>
      </w:r>
      <w:proofErr w:type="spellStart"/>
      <w:r w:rsidRPr="00113EED">
        <w:t>avhl</w:t>
      </w:r>
      <w:proofErr w:type="spellEnd"/>
      <w:r w:rsidRPr="00113EED">
        <w:t xml:space="preserve">. §§ 3-4 og 3-5. Derfor gjelder ekstinksjonsregelen i </w:t>
      </w:r>
      <w:proofErr w:type="spellStart"/>
      <w:r w:rsidRPr="00113EED">
        <w:t>ekstl</w:t>
      </w:r>
      <w:proofErr w:type="spellEnd"/>
      <w:r w:rsidRPr="00113EED">
        <w:t xml:space="preserve">. § 1, ikke </w:t>
      </w:r>
      <w:proofErr w:type="spellStart"/>
      <w:r w:rsidRPr="00113EED">
        <w:t>tgl</w:t>
      </w:r>
      <w:proofErr w:type="spellEnd"/>
      <w:r w:rsidRPr="00113EED">
        <w:t>. § 27.</w:t>
      </w:r>
      <w:r w:rsidRPr="00113EED">
        <w:br/>
      </w:r>
      <w:r w:rsidRPr="00113EED">
        <w:br/>
        <w:t xml:space="preserve">- Marte har ikke kjøpt møblene av Peder, men møblene må likefullt anses som en del av leiekontrakten. Bruksleie omfattes av </w:t>
      </w:r>
      <w:proofErr w:type="spellStart"/>
      <w:r w:rsidRPr="00113EED">
        <w:t>ekstl</w:t>
      </w:r>
      <w:proofErr w:type="spellEnd"/>
      <w:r w:rsidRPr="00113EED">
        <w:t xml:space="preserve">. § 1 </w:t>
      </w:r>
      <w:proofErr w:type="spellStart"/>
      <w:r w:rsidRPr="00113EED">
        <w:t>nr</w:t>
      </w:r>
      <w:proofErr w:type="spellEnd"/>
      <w:r w:rsidRPr="00113EED">
        <w:t xml:space="preserve"> 1, </w:t>
      </w:r>
      <w:proofErr w:type="spellStart"/>
      <w:r w:rsidRPr="00113EED">
        <w:t>jf</w:t>
      </w:r>
      <w:proofErr w:type="spellEnd"/>
      <w:r w:rsidRPr="00113EED">
        <w:t xml:space="preserve"> </w:t>
      </w:r>
      <w:proofErr w:type="spellStart"/>
      <w:r w:rsidRPr="00113EED">
        <w:t>nr</w:t>
      </w:r>
      <w:proofErr w:type="spellEnd"/>
      <w:r w:rsidRPr="00113EED">
        <w:t xml:space="preserve"> 2.</w:t>
      </w:r>
      <w:r w:rsidRPr="00113EED">
        <w:br/>
      </w:r>
      <w:r w:rsidRPr="00113EED">
        <w:br/>
        <w:t xml:space="preserve">- Videre synes vilkårene i </w:t>
      </w:r>
      <w:proofErr w:type="spellStart"/>
      <w:r w:rsidRPr="00113EED">
        <w:t>ekstl</w:t>
      </w:r>
      <w:proofErr w:type="spellEnd"/>
      <w:r w:rsidRPr="00113EED">
        <w:t xml:space="preserve">. § 1 </w:t>
      </w:r>
      <w:proofErr w:type="spellStart"/>
      <w:r w:rsidRPr="00113EED">
        <w:t>nr</w:t>
      </w:r>
      <w:proofErr w:type="spellEnd"/>
      <w:r w:rsidRPr="00113EED">
        <w:t xml:space="preserve"> 1 ellers å være oppfylt. Peder hadde møblene i sin besittelse, og Marte fikk disse overlevert til seg i god tro. </w:t>
      </w:r>
      <w:r w:rsidRPr="00113EED">
        <w:br/>
      </w:r>
      <w:r w:rsidRPr="00113EED">
        <w:br/>
        <w:t xml:space="preserve">- PS: </w:t>
      </w:r>
      <w:proofErr w:type="spellStart"/>
      <w:r w:rsidRPr="00113EED">
        <w:t>Husl</w:t>
      </w:r>
      <w:proofErr w:type="spellEnd"/>
      <w:r w:rsidRPr="00113EED">
        <w:t>. § 10-4 har en regel om etterlatt løsøre, men den får neppe betydning i noen retning her. Riktig nok har utleieren rett til å selge løsøret for leietakers regning dersom utleiers ulemper blir urimelige eller leietaker venter urimelig lenge med å hente løsøret, men disse vilkårene er ikke oppfylt.</w:t>
      </w:r>
    </w:p>
    <w:p w:rsidR="00113EED" w:rsidRPr="00113EED" w:rsidRDefault="00113EED" w:rsidP="00113EED">
      <w:pPr>
        <w:rPr>
          <w:vanish/>
        </w:rPr>
      </w:pPr>
      <w:r w:rsidRPr="00113EED">
        <w:rPr>
          <w:vanish/>
        </w:rPr>
        <w:lastRenderedPageBreak/>
        <w:t>Nederst i skjemaet</w:t>
      </w:r>
    </w:p>
    <w:p w:rsidR="00113EED" w:rsidRPr="00113EED" w:rsidRDefault="00113EED" w:rsidP="00113EED">
      <w:pPr>
        <w:rPr>
          <w:b/>
          <w:bCs/>
        </w:rPr>
      </w:pPr>
      <w:r w:rsidRPr="00113EED">
        <w:rPr>
          <w:b/>
          <w:bCs/>
        </w:rPr>
        <w:t xml:space="preserve">   </w:t>
      </w:r>
      <w:r w:rsidRPr="00113EED">
        <w:rPr>
          <w:b/>
          <w:bCs/>
        </w:rPr>
        <w:object w:dxaOrig="1440" w:dyaOrig="1440">
          <v:shape id="_x0000_i1195" type="#_x0000_t75" style="width:102.05pt;height:18.15pt" o:ole="">
            <v:imagedata r:id="rId23" o:title=""/>
          </v:shape>
          <w:control r:id="rId24" w:name="DefaultOcxName15" w:shapeid="_x0000_i1195"/>
        </w:object>
      </w:r>
      <w:bookmarkStart w:id="2" w:name="_GoBack"/>
      <w:bookmarkEnd w:id="2"/>
    </w:p>
    <w:p w:rsidR="006F327B" w:rsidRDefault="00113EED"/>
    <w:sectPr w:rsidR="006F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6B7"/>
    <w:multiLevelType w:val="multilevel"/>
    <w:tmpl w:val="A88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5"/>
    <w:rsid w:val="00113EED"/>
    <w:rsid w:val="007F0427"/>
    <w:rsid w:val="00B10141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6565-96C6-4325-81C8-5EF153F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140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0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7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3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63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85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04236">
                                  <w:marLeft w:val="345"/>
                                  <w:marRight w:val="195"/>
                                  <w:marTop w:val="10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94796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7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DDDDD"/>
                                <w:bottom w:val="none" w:sz="0" w:space="0" w:color="auto"/>
                                <w:right w:val="single" w:sz="6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0355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4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53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08664">
                                  <w:marLeft w:val="345"/>
                                  <w:marRight w:val="195"/>
                                  <w:marTop w:val="10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0620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219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DDDDD"/>
                                <w:bottom w:val="none" w:sz="0" w:space="0" w:color="auto"/>
                                <w:right w:val="single" w:sz="6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73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3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2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0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66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3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74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9726">
                                  <w:marLeft w:val="345"/>
                                  <w:marRight w:val="195"/>
                                  <w:marTop w:val="10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862657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017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DDDDD"/>
                                <w:bottom w:val="none" w:sz="0" w:space="0" w:color="auto"/>
                                <w:right w:val="single" w:sz="6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0628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540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9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95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5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64869">
                                  <w:marLeft w:val="345"/>
                                  <w:marRight w:val="195"/>
                                  <w:marTop w:val="10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8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517991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491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DDDDD"/>
                                <w:bottom w:val="none" w:sz="0" w:space="0" w:color="auto"/>
                                <w:right w:val="single" w:sz="6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3167</Characters>
  <Application>Microsoft Office Word</Application>
  <DocSecurity>0</DocSecurity>
  <Lines>26</Lines>
  <Paragraphs>7</Paragraphs>
  <ScaleCrop>false</ScaleCrop>
  <Company>Universitetet i Oslo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Sande</dc:creator>
  <cp:keywords/>
  <dc:description/>
  <cp:lastModifiedBy>Knut Sande</cp:lastModifiedBy>
  <cp:revision>2</cp:revision>
  <dcterms:created xsi:type="dcterms:W3CDTF">2019-09-06T11:39:00Z</dcterms:created>
  <dcterms:modified xsi:type="dcterms:W3CDTF">2019-09-06T11:39:00Z</dcterms:modified>
</cp:coreProperties>
</file>