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C8D9" w14:textId="77777777" w:rsidR="009467DB" w:rsidRDefault="009467DB" w:rsidP="009467DB">
      <w:r>
        <w:t xml:space="preserve">Sensorveiledning JUR3000, dag 1, høsten 2013 </w:t>
      </w:r>
    </w:p>
    <w:p w14:paraId="5784E301" w14:textId="77777777" w:rsidR="009467DB" w:rsidRDefault="009467DB" w:rsidP="009467DB">
      <w:r>
        <w:t xml:space="preserve">  </w:t>
      </w:r>
    </w:p>
    <w:p w14:paraId="200583B8" w14:textId="77777777" w:rsidR="009467DB" w:rsidRDefault="009467DB" w:rsidP="009467DB">
      <w:r>
        <w:t xml:space="preserve">5. Oppgave II </w:t>
      </w:r>
    </w:p>
    <w:p w14:paraId="0E9AE1F8" w14:textId="77777777" w:rsidR="009467DB" w:rsidRDefault="009467DB" w:rsidP="009467DB">
      <w:r>
        <w:t xml:space="preserve"> </w:t>
      </w:r>
    </w:p>
    <w:p w14:paraId="66DB9C71" w14:textId="77777777" w:rsidR="009467DB" w:rsidRDefault="009467DB" w:rsidP="009467DB">
      <w:r>
        <w:t xml:space="preserve">5.1 Innledning – særlig om reglene som regulerer det foreliggende dokument </w:t>
      </w:r>
    </w:p>
    <w:p w14:paraId="120D817B" w14:textId="77777777" w:rsidR="009467DB" w:rsidRDefault="009467DB" w:rsidP="009467DB">
      <w:r>
        <w:t xml:space="preserve"> </w:t>
      </w:r>
    </w:p>
    <w:p w14:paraId="2B2D0AC6" w14:textId="77777777" w:rsidR="009467DB" w:rsidRDefault="009467DB" w:rsidP="009467DB">
      <w:r>
        <w:t xml:space="preserve">Oppgave II reiser problemstillinger knyttet til den såkalte pengekravretten (som er en integrert del av obligasjonsretten ved siden av kontraktsretten), nærmere bestemt problemstillinger knyttet til motregning og overdragelse av enkle krav. </w:t>
      </w:r>
    </w:p>
    <w:p w14:paraId="7A032585" w14:textId="77777777" w:rsidR="009467DB" w:rsidRDefault="009467DB" w:rsidP="009467DB">
      <w:r>
        <w:t xml:space="preserve"> </w:t>
      </w:r>
    </w:p>
    <w:p w14:paraId="65C3461E" w14:textId="77777777" w:rsidR="009467DB" w:rsidRDefault="009467DB" w:rsidP="009467DB">
      <w:r>
        <w:t xml:space="preserve">Oppgaven inneholder en liten vanske ved at dokumentet Mørk-Kirkerud utsteder et gjeldsbrev med følgende ordlyd: «Advokatfirmaet Mørk-Kirkerud &amp; Co erkjenner med dette å skylde Lars Holms hotell eller ordre kroner 100 000 for opphold ved Lars Holms Hotell». Tillegget eller ordre, vil kanskje trekke enkelte kandidaters oppmerksomhet i retning av gjeldsbrevloven § 11 annet ledd nr. 2, som omhandler ordegjeldsbrev som er en undergruppe av omsetningsgjeldsbrevene. Om dokumentet hadde vært et omsetningsgjeldsbrev, hadde gjeldsbrevloven </w:t>
      </w:r>
      <w:proofErr w:type="spellStart"/>
      <w:r>
        <w:t>kap</w:t>
      </w:r>
      <w:proofErr w:type="spellEnd"/>
      <w:r>
        <w:t xml:space="preserve">. 2 kommet til anvendelse, hvilket bl.a. ville innebåret at motregningsspørsmålet i utgangspunktet hadde blitt å løse etter lovens § 18. Dette er ikke korrekt. Det følger av gjeldsbrevdefinisjonen at et gjeldsbrev er en 1) skriftlig, 2) i det ytre selvstendig erklæring om 3) å skylde en bestemt sum penger. Vilkårene fremgår opprinnelig av gjeldsbrevlovens forarbeider, men er velkjente og følgelig også reflektert i den juridiske teori. </w:t>
      </w:r>
      <w:commentRangeStart w:id="0"/>
      <w:r>
        <w:t xml:space="preserve">I det foreliggende tilfellet er ikke erklæringen om å skylde penger ubetinget, men betinget av opphold ved Lars Holms Hotell. Dette innebærer at dokumentet ikke er et gjeldsbrev, men kun et såkalt enkelt krav som ikke er et gjeldsbrev. Dette innebærer at gjeldsbrevloven ikke kommer direkte til anvendelse. </w:t>
      </w:r>
      <w:commentRangeEnd w:id="0"/>
      <w:r w:rsidR="009B53D6">
        <w:rPr>
          <w:rStyle w:val="Merknadsreferanse"/>
        </w:rPr>
        <w:commentReference w:id="0"/>
      </w:r>
    </w:p>
    <w:p w14:paraId="0F65CED5" w14:textId="142C32C8" w:rsidR="009467DB" w:rsidRDefault="00AD3333" w:rsidP="009467DB">
      <w:pPr>
        <w:rPr>
          <w:color w:val="FF0000"/>
        </w:rPr>
      </w:pPr>
      <w:r>
        <w:rPr>
          <w:b/>
          <w:color w:val="FF0000"/>
        </w:rPr>
        <w:t>D</w:t>
      </w:r>
      <w:r w:rsidR="009B53D6" w:rsidRPr="009B53D6">
        <w:rPr>
          <w:b/>
          <w:color w:val="FF0000"/>
        </w:rPr>
        <w:t>ette ikke er korrekt</w:t>
      </w:r>
      <w:r w:rsidR="009B53D6">
        <w:rPr>
          <w:color w:val="FF0000"/>
        </w:rPr>
        <w:t xml:space="preserve">. </w:t>
      </w:r>
      <w:r>
        <w:rPr>
          <w:color w:val="FF0000"/>
        </w:rPr>
        <w:t xml:space="preserve">Ordlyden tilsier at dokumentet er et gjeldsbrev, og </w:t>
      </w:r>
      <w:proofErr w:type="spellStart"/>
      <w:r>
        <w:rPr>
          <w:color w:val="FF0000"/>
        </w:rPr>
        <w:t>førlgelig</w:t>
      </w:r>
      <w:proofErr w:type="spellEnd"/>
      <w:r>
        <w:rPr>
          <w:color w:val="FF0000"/>
        </w:rPr>
        <w:t xml:space="preserve"> også et</w:t>
      </w:r>
      <w:r w:rsidR="009B53D6">
        <w:rPr>
          <w:color w:val="FF0000"/>
        </w:rPr>
        <w:t xml:space="preserve"> omsetningsgjeldsbrev</w:t>
      </w:r>
      <w:r>
        <w:rPr>
          <w:color w:val="FF0000"/>
        </w:rPr>
        <w:t xml:space="preserve"> etter § 11 </w:t>
      </w:r>
      <w:proofErr w:type="spellStart"/>
      <w:r>
        <w:rPr>
          <w:color w:val="FF0000"/>
        </w:rPr>
        <w:t>nr</w:t>
      </w:r>
      <w:proofErr w:type="spellEnd"/>
      <w:r>
        <w:rPr>
          <w:color w:val="FF0000"/>
        </w:rPr>
        <w:t xml:space="preserve"> 2</w:t>
      </w:r>
      <w:r w:rsidR="009B53D6">
        <w:rPr>
          <w:color w:val="FF0000"/>
        </w:rPr>
        <w:t xml:space="preserve">. </w:t>
      </w:r>
      <w:r w:rsidR="00B33D1F">
        <w:rPr>
          <w:color w:val="FF0000"/>
        </w:rPr>
        <w:t>Mao: Vilkåret om at kravet må være «ubetinget</w:t>
      </w:r>
      <w:r w:rsidR="009B53D6">
        <w:rPr>
          <w:color w:val="FF0000"/>
        </w:rPr>
        <w:t>» («i det ytre selvstendig») er</w:t>
      </w:r>
      <w:r w:rsidR="00B33D1F">
        <w:rPr>
          <w:color w:val="FF0000"/>
        </w:rPr>
        <w:t xml:space="preserve"> altså</w:t>
      </w:r>
      <w:r w:rsidR="009B53D6">
        <w:rPr>
          <w:color w:val="FF0000"/>
        </w:rPr>
        <w:t xml:space="preserve"> oppfylt.</w:t>
      </w:r>
      <w:r w:rsidR="00B33D1F">
        <w:rPr>
          <w:color w:val="FF0000"/>
        </w:rPr>
        <w:t xml:space="preserve"> Dette er ikke bare min mening, men også alle andre faglærere jeg har snakket med.</w:t>
      </w:r>
      <w:r w:rsidR="009B53D6">
        <w:rPr>
          <w:color w:val="FF0000"/>
        </w:rPr>
        <w:t xml:space="preserve"> </w:t>
      </w:r>
    </w:p>
    <w:p w14:paraId="4FBC845D" w14:textId="328392E7" w:rsidR="009B53D6" w:rsidRDefault="009B53D6" w:rsidP="009467DB">
      <w:pPr>
        <w:rPr>
          <w:color w:val="FF0000"/>
        </w:rPr>
      </w:pPr>
      <w:r>
        <w:rPr>
          <w:color w:val="FF0000"/>
        </w:rPr>
        <w:t>Sensorveiledningen henger seg tilsynelatende veldig opp i formuleringen i dokumentet om at kravet på 100 000 kr var «for opphold ved Lars Holms Hotell». Det hevdes at dette gjorde kravet betinget av et hotellopphold. Mot en slik tolkning kan det for det første anføres at formuleringen ikke gjør kravet betinget av et hotellopphold, men bare er en henvisning til kravets opprinnelse. Videre indikerer bruken av formuleringen «eller ordre» at partene mente at dokumentet skulle</w:t>
      </w:r>
      <w:r w:rsidR="00303368">
        <w:rPr>
          <w:color w:val="FF0000"/>
        </w:rPr>
        <w:t xml:space="preserve"> være et omsetningsgjeldsbrev. Særlig f</w:t>
      </w:r>
      <w:r>
        <w:rPr>
          <w:color w:val="FF0000"/>
        </w:rPr>
        <w:t>ordi det vil ha betydning for kravets verdi om dokumentet anses som et omsetningsgjel</w:t>
      </w:r>
      <w:r w:rsidR="00303368">
        <w:rPr>
          <w:color w:val="FF0000"/>
        </w:rPr>
        <w:t>dsbrev eller ikke, bør partenes mening</w:t>
      </w:r>
      <w:r>
        <w:rPr>
          <w:color w:val="FF0000"/>
        </w:rPr>
        <w:t xml:space="preserve"> legges til grunn.</w:t>
      </w:r>
    </w:p>
    <w:p w14:paraId="34669B31" w14:textId="2B233CD5" w:rsidR="009B53D6" w:rsidRDefault="009B53D6" w:rsidP="009467DB"/>
    <w:p w14:paraId="5F5C75D9" w14:textId="77777777" w:rsidR="009467DB" w:rsidRDefault="009467DB" w:rsidP="009467DB">
      <w:r>
        <w:t xml:space="preserve">Det følger av rettspraksis at reglene om enkle gjeldsbrev kommer like fullt analogisk til anvendelse på enkle krav som ikke er gjeldsbrev. Dette innebærer at gjeldsbrevlovens </w:t>
      </w:r>
      <w:proofErr w:type="spellStart"/>
      <w:r>
        <w:t>kap</w:t>
      </w:r>
      <w:proofErr w:type="spellEnd"/>
      <w:r>
        <w:t xml:space="preserve">. 1 og 3 kommer analogisk til anvendelse på dokumentet, både hva gjelder motregningsadgang og ansvar ved cesjon. </w:t>
      </w:r>
    </w:p>
    <w:p w14:paraId="7921F7DF" w14:textId="77777777" w:rsidR="009467DB" w:rsidRDefault="009467DB" w:rsidP="009467DB">
      <w:r>
        <w:t xml:space="preserve"> </w:t>
      </w:r>
    </w:p>
    <w:p w14:paraId="272F1163" w14:textId="77777777" w:rsidR="009467DB" w:rsidRDefault="009467DB" w:rsidP="009467DB">
      <w:r>
        <w:lastRenderedPageBreak/>
        <w:t xml:space="preserve">De kandidater som eventuelt legger til grunn at dokumentet er et omsetningsgjeldsbrev, må trekkes for det. Disse kandidatene vil i forlengelsen av dette antakelig legge til grunn at motregningsadgangen må løses med utgangspunkt i gjeldsbrevloven § 18. Det skal ikke trekkes ytterligere for en eventuell følgefeil her. Tvert imot må de kandidatene som håndterer den relativt kompliserte bestemmelsen i gjeldsbrevloven honoreres for det. </w:t>
      </w:r>
    </w:p>
    <w:p w14:paraId="53BAC1AE" w14:textId="77777777" w:rsidR="009467DB" w:rsidRDefault="009467DB" w:rsidP="009467DB">
      <w:r>
        <w:t xml:space="preserve"> </w:t>
      </w:r>
    </w:p>
    <w:p w14:paraId="3EA50B53" w14:textId="77777777" w:rsidR="009467DB" w:rsidRPr="009E1C9F" w:rsidRDefault="009467DB" w:rsidP="009E1C9F">
      <w:pPr>
        <w:ind w:left="708"/>
        <w:rPr>
          <w:i/>
          <w:sz w:val="20"/>
        </w:rPr>
      </w:pPr>
      <w:r w:rsidRPr="009E1C9F">
        <w:rPr>
          <w:i/>
          <w:sz w:val="20"/>
        </w:rPr>
        <w:t xml:space="preserve">Under eksamen skjedde en feil som </w:t>
      </w:r>
      <w:proofErr w:type="spellStart"/>
      <w:r w:rsidRPr="009E1C9F">
        <w:rPr>
          <w:i/>
          <w:sz w:val="20"/>
        </w:rPr>
        <w:t>børørte</w:t>
      </w:r>
      <w:proofErr w:type="spellEnd"/>
      <w:r w:rsidRPr="009E1C9F">
        <w:rPr>
          <w:i/>
          <w:sz w:val="20"/>
        </w:rPr>
        <w:t xml:space="preserve"> noen av studentene. Fakultetet skriver følgende om dette: </w:t>
      </w:r>
    </w:p>
    <w:p w14:paraId="5CB04432" w14:textId="77777777" w:rsidR="009467DB" w:rsidRPr="00885B86" w:rsidRDefault="009467DB" w:rsidP="009E1C9F">
      <w:pPr>
        <w:ind w:left="708"/>
        <w:rPr>
          <w:i/>
          <w:sz w:val="20"/>
        </w:rPr>
      </w:pPr>
      <w:r w:rsidRPr="00885B86">
        <w:rPr>
          <w:i/>
          <w:sz w:val="20"/>
        </w:rPr>
        <w:t xml:space="preserve">«Feilinformasjon til flere eksamenskandidater om eksamensoppgaven i JUR3000P – dag 1.  </w:t>
      </w:r>
    </w:p>
    <w:p w14:paraId="71351238" w14:textId="77777777" w:rsidR="009467DB" w:rsidRPr="00885B86" w:rsidRDefault="009467DB" w:rsidP="009E1C9F">
      <w:pPr>
        <w:ind w:left="708"/>
        <w:rPr>
          <w:i/>
          <w:sz w:val="20"/>
        </w:rPr>
      </w:pPr>
      <w:r w:rsidRPr="00885B86">
        <w:rPr>
          <w:i/>
          <w:sz w:val="20"/>
        </w:rPr>
        <w:t xml:space="preserve"> </w:t>
      </w:r>
    </w:p>
    <w:p w14:paraId="1C08E94E" w14:textId="77777777" w:rsidR="009467DB" w:rsidRPr="009E1C9F" w:rsidRDefault="009467DB" w:rsidP="009E1C9F">
      <w:pPr>
        <w:ind w:left="708"/>
        <w:rPr>
          <w:i/>
          <w:sz w:val="20"/>
        </w:rPr>
      </w:pPr>
      <w:r w:rsidRPr="00885B86">
        <w:rPr>
          <w:i/>
          <w:sz w:val="20"/>
        </w:rPr>
        <w:t xml:space="preserve">Til eksamen i JUR3000P dag 1, fredag 22. november 2013, ble det gitt feil informasjon om teksten i eksamensoppgaven til kandidatene i 5. og 6. etasje i </w:t>
      </w:r>
      <w:proofErr w:type="spellStart"/>
      <w:r w:rsidRPr="00885B86">
        <w:rPr>
          <w:i/>
          <w:sz w:val="20"/>
        </w:rPr>
        <w:t>Rosenkrantzgt</w:t>
      </w:r>
      <w:proofErr w:type="spellEnd"/>
      <w:r w:rsidRPr="00885B86">
        <w:rPr>
          <w:i/>
          <w:sz w:val="20"/>
        </w:rPr>
        <w:t xml:space="preserve">. </w:t>
      </w:r>
      <w:r w:rsidRPr="009E1C9F">
        <w:rPr>
          <w:i/>
          <w:sz w:val="20"/>
        </w:rPr>
        <w:t xml:space="preserve">11B. De øvrige kandidatene er ikke berørt av feilen. </w:t>
      </w:r>
    </w:p>
    <w:p w14:paraId="1CEB0BA9" w14:textId="77777777" w:rsidR="009467DB" w:rsidRPr="009E1C9F" w:rsidRDefault="009467DB" w:rsidP="009E1C9F">
      <w:pPr>
        <w:ind w:left="708"/>
        <w:rPr>
          <w:i/>
          <w:sz w:val="20"/>
        </w:rPr>
      </w:pPr>
      <w:r w:rsidRPr="009E1C9F">
        <w:rPr>
          <w:i/>
          <w:sz w:val="20"/>
        </w:rPr>
        <w:t xml:space="preserve"> </w:t>
      </w:r>
    </w:p>
    <w:p w14:paraId="002B2053" w14:textId="77777777" w:rsidR="009467DB" w:rsidRPr="009E1C9F" w:rsidRDefault="009467DB" w:rsidP="009E1C9F">
      <w:pPr>
        <w:ind w:left="708"/>
        <w:rPr>
          <w:i/>
          <w:sz w:val="20"/>
        </w:rPr>
      </w:pPr>
      <w:r w:rsidRPr="009E1C9F">
        <w:rPr>
          <w:i/>
          <w:sz w:val="20"/>
        </w:rPr>
        <w:t xml:space="preserve">Eksamenskandidatene ble, uten at det var grunnlag for å gi slik informasjon, informert om at det var en feil i oppgaveteksten. Faglig eksamensleder og eksamensadministrasjonen ble ikke klar over feilen før det var kort tid igjen av eksamenstiden. </w:t>
      </w:r>
    </w:p>
    <w:p w14:paraId="1183C009" w14:textId="77777777" w:rsidR="009467DB" w:rsidRPr="009E1C9F" w:rsidRDefault="009467DB" w:rsidP="009E1C9F">
      <w:pPr>
        <w:ind w:left="708"/>
        <w:rPr>
          <w:i/>
          <w:sz w:val="20"/>
        </w:rPr>
      </w:pPr>
      <w:r w:rsidRPr="009E1C9F">
        <w:rPr>
          <w:i/>
          <w:sz w:val="20"/>
        </w:rPr>
        <w:t xml:space="preserve"> </w:t>
      </w:r>
    </w:p>
    <w:p w14:paraId="066ACF60" w14:textId="77777777" w:rsidR="009467DB" w:rsidRPr="009E1C9F" w:rsidRDefault="009467DB" w:rsidP="009E1C9F">
      <w:pPr>
        <w:ind w:left="708"/>
        <w:rPr>
          <w:i/>
          <w:sz w:val="20"/>
        </w:rPr>
      </w:pPr>
      <w:r w:rsidRPr="009E1C9F">
        <w:rPr>
          <w:i/>
          <w:sz w:val="20"/>
        </w:rPr>
        <w:t xml:space="preserve">For å avhjelpe feilen, har fakultetet besluttet følgende: </w:t>
      </w:r>
    </w:p>
    <w:p w14:paraId="4AA236E6" w14:textId="77777777" w:rsidR="009467DB" w:rsidRPr="009E1C9F" w:rsidRDefault="009467DB" w:rsidP="009E1C9F">
      <w:pPr>
        <w:ind w:left="708"/>
        <w:rPr>
          <w:i/>
          <w:sz w:val="20"/>
        </w:rPr>
      </w:pPr>
      <w:r w:rsidRPr="009E1C9F">
        <w:rPr>
          <w:i/>
          <w:sz w:val="20"/>
        </w:rPr>
        <w:t xml:space="preserve"> </w:t>
      </w:r>
    </w:p>
    <w:p w14:paraId="4C20FB37" w14:textId="77777777" w:rsidR="009467DB" w:rsidRPr="009E1C9F" w:rsidRDefault="009467DB" w:rsidP="009E1C9F">
      <w:pPr>
        <w:ind w:left="708"/>
        <w:rPr>
          <w:i/>
          <w:sz w:val="20"/>
        </w:rPr>
      </w:pPr>
      <w:r w:rsidRPr="009E1C9F">
        <w:rPr>
          <w:i/>
          <w:sz w:val="20"/>
        </w:rPr>
        <w:t xml:space="preserve"> Sensorene blir orientert om hendelsen. Informasjon om feilen vil bli innarbeidet i sensorveiledningen, og det vil fremkomme hvordan sensorene skal ta hensyn til dette i sensuren. </w:t>
      </w:r>
      <w:r w:rsidRPr="009E1C9F">
        <w:rPr>
          <w:i/>
          <w:sz w:val="20"/>
        </w:rPr>
        <w:t xml:space="preserve"> De berørte kandidatene får tilbud om å gjennomføre dag 1 av JUR3000P på ny i løpet av desember dersom de ønsker det. Den opprinnelige besvarelsen blir da ikke sensurert. </w:t>
      </w:r>
    </w:p>
    <w:p w14:paraId="28523AFC" w14:textId="77777777" w:rsidR="009467DB" w:rsidRPr="009E1C9F" w:rsidRDefault="009467DB" w:rsidP="009E1C9F">
      <w:pPr>
        <w:ind w:left="708"/>
        <w:rPr>
          <w:i/>
          <w:sz w:val="20"/>
        </w:rPr>
      </w:pPr>
      <w:r w:rsidRPr="009E1C9F">
        <w:rPr>
          <w:i/>
          <w:sz w:val="20"/>
        </w:rPr>
        <w:t xml:space="preserve"> </w:t>
      </w:r>
    </w:p>
    <w:p w14:paraId="75AD8C64" w14:textId="77777777" w:rsidR="009467DB" w:rsidRPr="009E1C9F" w:rsidRDefault="009467DB" w:rsidP="009E1C9F">
      <w:pPr>
        <w:ind w:left="708"/>
        <w:rPr>
          <w:i/>
          <w:sz w:val="20"/>
        </w:rPr>
      </w:pPr>
      <w:r w:rsidRPr="009E1C9F">
        <w:rPr>
          <w:i/>
          <w:sz w:val="20"/>
        </w:rPr>
        <w:t xml:space="preserve">Alle eksamenskandidatene på emnet har fått en orientering fra fakultetet, og de berørte kandidatene vil få eget brev med tilbud om å gjennomføre dag 1 av JUR3000P på nytt.» </w:t>
      </w:r>
    </w:p>
    <w:p w14:paraId="1DEFD709" w14:textId="77777777" w:rsidR="009467DB" w:rsidRPr="009E1C9F" w:rsidRDefault="009467DB" w:rsidP="009E1C9F">
      <w:pPr>
        <w:ind w:left="708"/>
        <w:rPr>
          <w:i/>
          <w:sz w:val="20"/>
        </w:rPr>
      </w:pPr>
      <w:r w:rsidRPr="009E1C9F">
        <w:rPr>
          <w:i/>
          <w:sz w:val="20"/>
        </w:rPr>
        <w:t xml:space="preserve"> </w:t>
      </w:r>
    </w:p>
    <w:p w14:paraId="15192DBE" w14:textId="77777777" w:rsidR="009467DB" w:rsidRPr="009E1C9F" w:rsidRDefault="009467DB" w:rsidP="009E1C9F">
      <w:pPr>
        <w:ind w:left="708"/>
        <w:rPr>
          <w:i/>
          <w:sz w:val="20"/>
        </w:rPr>
      </w:pPr>
      <w:r w:rsidRPr="009E1C9F">
        <w:rPr>
          <w:i/>
          <w:sz w:val="20"/>
        </w:rPr>
        <w:t xml:space="preserve">  Når det gjelder den potensielle skadevirkningen av feilinformasjonen, er denne like fullt begrenset: Studenter som legger til grunn at det i </w:t>
      </w:r>
      <w:proofErr w:type="spellStart"/>
      <w:r w:rsidRPr="009E1C9F">
        <w:rPr>
          <w:i/>
          <w:sz w:val="20"/>
        </w:rPr>
        <w:t>gjeldbrevet</w:t>
      </w:r>
      <w:proofErr w:type="spellEnd"/>
      <w:r w:rsidRPr="009E1C9F">
        <w:rPr>
          <w:i/>
          <w:sz w:val="20"/>
        </w:rPr>
        <w:t xml:space="preserve"> </w:t>
      </w:r>
      <w:proofErr w:type="gramStart"/>
      <w:r w:rsidRPr="009E1C9F">
        <w:rPr>
          <w:i/>
          <w:sz w:val="20"/>
        </w:rPr>
        <w:t>står ”etter</w:t>
      </w:r>
      <w:proofErr w:type="gramEnd"/>
      <w:r w:rsidRPr="009E1C9F">
        <w:rPr>
          <w:i/>
          <w:sz w:val="20"/>
        </w:rPr>
        <w:t xml:space="preserve"> ordre” og ikke ”eller ordre” blir ikke ledet mot gjeldsbrevloven § 11 </w:t>
      </w:r>
      <w:proofErr w:type="spellStart"/>
      <w:r w:rsidRPr="009E1C9F">
        <w:rPr>
          <w:i/>
          <w:sz w:val="20"/>
        </w:rPr>
        <w:t>nr</w:t>
      </w:r>
      <w:proofErr w:type="spellEnd"/>
      <w:r w:rsidRPr="009E1C9F">
        <w:rPr>
          <w:i/>
          <w:sz w:val="20"/>
        </w:rPr>
        <w:t xml:space="preserve"> 2, med den potensielle feil som ligger i å anta at dokumentet er et omsetningsgjeldsbrev som resultat. Studenter som ble feilinformert fikk altså i utgangspunktet bistand til å unngå en av </w:t>
      </w:r>
      <w:proofErr w:type="gramStart"/>
      <w:r w:rsidRPr="009E1C9F">
        <w:rPr>
          <w:i/>
          <w:sz w:val="20"/>
        </w:rPr>
        <w:t>oppgavens ”feller</w:t>
      </w:r>
      <w:proofErr w:type="gramEnd"/>
      <w:r w:rsidRPr="009E1C9F">
        <w:rPr>
          <w:i/>
          <w:sz w:val="20"/>
        </w:rPr>
        <w:t xml:space="preserve">”, slik at disse unngikk å rote seg inn i en drøftelse av motregningsadgangen etter gjeldsbrevloven § 18. Det at studentene senere på dagen får kontrabeskjed, innebærer imidlertid at dette reverseres, og med tap av tid som resultat for mange av studentene. (Riktignok vil de beste studentene se at dokumentet ikke er et gjeldsbrev uansett om frasen i dokumentet </w:t>
      </w:r>
      <w:proofErr w:type="gramStart"/>
      <w:r w:rsidRPr="009E1C9F">
        <w:rPr>
          <w:i/>
          <w:sz w:val="20"/>
        </w:rPr>
        <w:t>lyder ”eller</w:t>
      </w:r>
      <w:proofErr w:type="gramEnd"/>
      <w:r w:rsidRPr="009E1C9F">
        <w:rPr>
          <w:i/>
          <w:sz w:val="20"/>
        </w:rPr>
        <w:t xml:space="preserve"> ordre” eller ”etter ordre”, men dette gjelder ikke alle.) De av studentene som på dette vis har tapt tid, bør kompenseres for det. Det arbeides nå for å kartlegge hvilke kandidatnumre dette gjelder.  Jeg antar at denne kompensasjonen bør gjøres på den måten at det i noen grad ses mildere på åpenbar tidsnød enn hva man ellers ville gjort.  </w:t>
      </w:r>
    </w:p>
    <w:p w14:paraId="01FC91B7" w14:textId="77777777" w:rsidR="009467DB" w:rsidRPr="009E1C9F" w:rsidRDefault="009467DB" w:rsidP="009E1C9F">
      <w:pPr>
        <w:ind w:left="708"/>
        <w:rPr>
          <w:i/>
          <w:sz w:val="20"/>
        </w:rPr>
      </w:pPr>
      <w:r w:rsidRPr="009E1C9F">
        <w:rPr>
          <w:i/>
          <w:sz w:val="20"/>
        </w:rPr>
        <w:t xml:space="preserve"> </w:t>
      </w:r>
    </w:p>
    <w:p w14:paraId="516EDC17" w14:textId="77777777" w:rsidR="009467DB" w:rsidRPr="009E1C9F" w:rsidRDefault="009467DB" w:rsidP="009E1C9F">
      <w:pPr>
        <w:ind w:left="708"/>
        <w:rPr>
          <w:i/>
          <w:sz w:val="20"/>
        </w:rPr>
      </w:pPr>
      <w:r w:rsidRPr="009E1C9F">
        <w:rPr>
          <w:i/>
          <w:sz w:val="20"/>
        </w:rPr>
        <w:t xml:space="preserve">I tillegg er det altså vedtatt at berørte studenter som ønsker det, skal få ta eksamen på nytt, jf. informasjon ovenfor. </w:t>
      </w:r>
    </w:p>
    <w:p w14:paraId="24FE4A8E" w14:textId="77777777" w:rsidR="009467DB" w:rsidRPr="009E1C9F" w:rsidRDefault="009467DB" w:rsidP="009E1C9F">
      <w:pPr>
        <w:ind w:left="708"/>
        <w:rPr>
          <w:i/>
          <w:sz w:val="20"/>
        </w:rPr>
      </w:pPr>
      <w:r w:rsidRPr="009E1C9F">
        <w:rPr>
          <w:i/>
          <w:sz w:val="20"/>
        </w:rPr>
        <w:lastRenderedPageBreak/>
        <w:t xml:space="preserve"> </w:t>
      </w:r>
    </w:p>
    <w:p w14:paraId="4A7EFF27" w14:textId="77777777" w:rsidR="009467DB" w:rsidRDefault="009467DB" w:rsidP="009467DB">
      <w:r>
        <w:t xml:space="preserve"> </w:t>
      </w:r>
    </w:p>
    <w:p w14:paraId="050F65A5" w14:textId="77777777" w:rsidR="009467DB" w:rsidRDefault="009467DB" w:rsidP="009467DB">
      <w:r>
        <w:t xml:space="preserve">5.2 Tvisten mellom Handelsbanken og Mørk-Kirkerud </w:t>
      </w:r>
    </w:p>
    <w:p w14:paraId="3ABB22B0" w14:textId="77777777" w:rsidR="009467DB" w:rsidRDefault="009467DB" w:rsidP="009467DB">
      <w:r>
        <w:t xml:space="preserve"> </w:t>
      </w:r>
    </w:p>
    <w:p w14:paraId="382E992C" w14:textId="77777777" w:rsidR="009467DB" w:rsidRDefault="009467DB" w:rsidP="009467DB">
      <w:r>
        <w:t xml:space="preserve">5.2.1 Løsning under forutsetning av at dokumentet ikke er et gjeldsbrev </w:t>
      </w:r>
    </w:p>
    <w:p w14:paraId="6EB701A7" w14:textId="77777777" w:rsidR="009467DB" w:rsidRDefault="009467DB" w:rsidP="009467DB">
      <w:r>
        <w:t xml:space="preserve"> </w:t>
      </w:r>
    </w:p>
    <w:p w14:paraId="7DC7473F" w14:textId="77777777" w:rsidR="009467DB" w:rsidRDefault="009467DB" w:rsidP="009467DB">
      <w:r>
        <w:t xml:space="preserve">Kandidater som legger til grunn at dokumentet ikke er et gjeldsbrev vil like fullt måtte komme til at </w:t>
      </w:r>
      <w:proofErr w:type="spellStart"/>
      <w:r>
        <w:t>gjeldsbrevsloven</w:t>
      </w:r>
      <w:proofErr w:type="spellEnd"/>
      <w:r>
        <w:t xml:space="preserve"> </w:t>
      </w:r>
      <w:proofErr w:type="spellStart"/>
      <w:r>
        <w:t>kap</w:t>
      </w:r>
      <w:proofErr w:type="spellEnd"/>
      <w:r>
        <w:t xml:space="preserve">. 1 og 3 får analogisk anvendelse, dvs. fellesbestemmelsene i </w:t>
      </w:r>
      <w:proofErr w:type="spellStart"/>
      <w:r>
        <w:t>kap</w:t>
      </w:r>
      <w:proofErr w:type="spellEnd"/>
      <w:r>
        <w:t xml:space="preserve">. 1 og særbestemmelsene for enkle gjeldsbrev i </w:t>
      </w:r>
      <w:proofErr w:type="spellStart"/>
      <w:r>
        <w:t>kap</w:t>
      </w:r>
      <w:proofErr w:type="spellEnd"/>
      <w:r>
        <w:t xml:space="preserve">. 3. I dette tilfellet, der det er tale om å motregne prisavslagskravet mot kravet som kommer til uttrykk i dokumentet, er </w:t>
      </w:r>
      <w:commentRangeStart w:id="1"/>
      <w:r>
        <w:t>det særlig gjeldsbrevloven §§ 25 og 26</w:t>
      </w:r>
      <w:commentRangeEnd w:id="1"/>
      <w:r w:rsidR="009E1C9F">
        <w:rPr>
          <w:rStyle w:val="Merknadsreferanse"/>
        </w:rPr>
        <w:commentReference w:id="1"/>
      </w:r>
      <w:r>
        <w:t xml:space="preserve"> som påkaller oppmerksomhet. </w:t>
      </w:r>
    </w:p>
    <w:p w14:paraId="61052529" w14:textId="77777777" w:rsidR="009467DB" w:rsidRPr="009467DB" w:rsidRDefault="009467DB" w:rsidP="009467DB">
      <w:r>
        <w:t xml:space="preserve"> </w:t>
      </w:r>
    </w:p>
    <w:p w14:paraId="1D6F77AE" w14:textId="77777777" w:rsidR="009467DB" w:rsidRDefault="009467DB" w:rsidP="009467DB">
      <w:r>
        <w:t>Mange kandidater vil antakelig ta utgangspunkt i de alminnelige motregningsvilkår (</w:t>
      </w:r>
      <w:proofErr w:type="spellStart"/>
      <w:r>
        <w:t>komputabilitet</w:t>
      </w:r>
      <w:proofErr w:type="spellEnd"/>
      <w:r>
        <w:t xml:space="preserve">, gjensidighet og oppgjørsmodne fordringer). At kandidatene kommer inn på dette, er helt fint, men drøftelsene av </w:t>
      </w:r>
      <w:proofErr w:type="spellStart"/>
      <w:r>
        <w:t>komputabilitet</w:t>
      </w:r>
      <w:proofErr w:type="spellEnd"/>
      <w:r>
        <w:t xml:space="preserve"> og oppgjørsmodenhet kan med fordel være korte og konsise. For drøftelsen av gjensidighetsvilkåret bør kandidatene få frem at presiseringer er gitt i gjeldsbrevloven, og motregningsadgangen ved overdragelse av fordringer i alminnelighet løses etter analogi fra gjeldsbrevlovens regler om enkle gjeldsbrev. </w:t>
      </w:r>
    </w:p>
    <w:p w14:paraId="584F0342" w14:textId="77777777" w:rsidR="009467DB" w:rsidRDefault="009467DB" w:rsidP="009467DB">
      <w:r>
        <w:t xml:space="preserve"> </w:t>
      </w:r>
    </w:p>
    <w:p w14:paraId="6A3CEBE4" w14:textId="77777777" w:rsidR="009467DB" w:rsidRDefault="009467DB" w:rsidP="009467DB">
      <w:r>
        <w:t xml:space="preserve">Hovedregelen om hvilke innsigelser debitor </w:t>
      </w:r>
      <w:proofErr w:type="spellStart"/>
      <w:r>
        <w:t>cessus</w:t>
      </w:r>
      <w:proofErr w:type="spellEnd"/>
      <w:r>
        <w:t xml:space="preserve"> (Mørk-Kirkerud) kan gjøre gjeldende mot cesjonar, er å finne i gjeldsbrevloven § 25</w:t>
      </w:r>
      <w:proofErr w:type="gramStart"/>
      <w:r>
        <w:t>: ”Når</w:t>
      </w:r>
      <w:proofErr w:type="gramEnd"/>
      <w:r>
        <w:t xml:space="preserve"> </w:t>
      </w:r>
      <w:proofErr w:type="spellStart"/>
      <w:r>
        <w:t>nokon</w:t>
      </w:r>
      <w:proofErr w:type="spellEnd"/>
      <w:r>
        <w:t xml:space="preserve"> avhender </w:t>
      </w:r>
      <w:proofErr w:type="spellStart"/>
      <w:r>
        <w:t>eit</w:t>
      </w:r>
      <w:proofErr w:type="spellEnd"/>
      <w:r>
        <w:t xml:space="preserve"> enkelt gjeldsbrev, får </w:t>
      </w:r>
      <w:proofErr w:type="spellStart"/>
      <w:r>
        <w:t>ikkje</w:t>
      </w:r>
      <w:proofErr w:type="spellEnd"/>
      <w:r>
        <w:t xml:space="preserve"> </w:t>
      </w:r>
      <w:proofErr w:type="spellStart"/>
      <w:r>
        <w:t>mottakaren</w:t>
      </w:r>
      <w:proofErr w:type="spellEnd"/>
      <w:r>
        <w:t xml:space="preserve"> betre rett enn </w:t>
      </w:r>
      <w:proofErr w:type="spellStart"/>
      <w:r>
        <w:t>avhendaren</w:t>
      </w:r>
      <w:proofErr w:type="spellEnd"/>
      <w:r>
        <w:t xml:space="preserve">, om </w:t>
      </w:r>
      <w:proofErr w:type="spellStart"/>
      <w:r>
        <w:t>inkje</w:t>
      </w:r>
      <w:proofErr w:type="spellEnd"/>
      <w:r>
        <w:t xml:space="preserve"> anna </w:t>
      </w:r>
      <w:proofErr w:type="spellStart"/>
      <w:r>
        <w:t>fylgjer</w:t>
      </w:r>
      <w:proofErr w:type="spellEnd"/>
      <w:r>
        <w:t xml:space="preserve"> av </w:t>
      </w:r>
      <w:proofErr w:type="spellStart"/>
      <w:r>
        <w:t>serlege</w:t>
      </w:r>
      <w:proofErr w:type="spellEnd"/>
      <w:r>
        <w:t xml:space="preserve"> </w:t>
      </w:r>
      <w:proofErr w:type="spellStart"/>
      <w:r>
        <w:t>rettsreglar</w:t>
      </w:r>
      <w:proofErr w:type="spellEnd"/>
      <w:r>
        <w:t>.” Det å anvende et motkrav til motregning, er imidlertid underlagt særlige begrensninger i § 26</w:t>
      </w:r>
      <w:proofErr w:type="gramStart"/>
      <w:r>
        <w:t>: ”Krav</w:t>
      </w:r>
      <w:proofErr w:type="gramEnd"/>
      <w:r>
        <w:t xml:space="preserve"> på </w:t>
      </w:r>
      <w:proofErr w:type="spellStart"/>
      <w:r>
        <w:t>avhendaren</w:t>
      </w:r>
      <w:proofErr w:type="spellEnd"/>
      <w:r>
        <w:t xml:space="preserve"> </w:t>
      </w:r>
      <w:proofErr w:type="spellStart"/>
      <w:r>
        <w:t>kann</w:t>
      </w:r>
      <w:proofErr w:type="spellEnd"/>
      <w:r>
        <w:t xml:space="preserve"> </w:t>
      </w:r>
      <w:proofErr w:type="spellStart"/>
      <w:r>
        <w:t>skyldnaren</w:t>
      </w:r>
      <w:proofErr w:type="spellEnd"/>
      <w:r>
        <w:t xml:space="preserve"> nytta til </w:t>
      </w:r>
      <w:proofErr w:type="spellStart"/>
      <w:r>
        <w:t>motrekning</w:t>
      </w:r>
      <w:proofErr w:type="spellEnd"/>
      <w:r>
        <w:t xml:space="preserve">, når han vart </w:t>
      </w:r>
      <w:proofErr w:type="spellStart"/>
      <w:r>
        <w:t>eigar</w:t>
      </w:r>
      <w:proofErr w:type="spellEnd"/>
      <w:r>
        <w:t xml:space="preserve"> av kravet før han </w:t>
      </w:r>
      <w:proofErr w:type="spellStart"/>
      <w:r>
        <w:t>fekk</w:t>
      </w:r>
      <w:proofErr w:type="spellEnd"/>
      <w:r>
        <w:t xml:space="preserve"> </w:t>
      </w:r>
      <w:proofErr w:type="spellStart"/>
      <w:r>
        <w:t>veta</w:t>
      </w:r>
      <w:proofErr w:type="spellEnd"/>
      <w:r>
        <w:t xml:space="preserve"> om avhendinga eller </w:t>
      </w:r>
      <w:proofErr w:type="spellStart"/>
      <w:r>
        <w:t>fekk</w:t>
      </w:r>
      <w:proofErr w:type="spellEnd"/>
      <w:r>
        <w:t xml:space="preserve"> </w:t>
      </w:r>
      <w:proofErr w:type="spellStart"/>
      <w:r>
        <w:t>nokon</w:t>
      </w:r>
      <w:proofErr w:type="spellEnd"/>
      <w:r>
        <w:t xml:space="preserve"> tanke om henne. </w:t>
      </w:r>
      <w:r w:rsidRPr="009467DB">
        <w:rPr>
          <w:lang w:val="nn-NO"/>
        </w:rPr>
        <w:t xml:space="preserve">Var motkravet ikkje forfalle på den tid, lyt det dessutan vera forfalle seinast samstundes med hovudkravet.” </w:t>
      </w:r>
      <w:r>
        <w:t xml:space="preserve">I utgangspunktet oppstiller altså gjeldsbrevloven to kumulative vilkår som begge må være oppfylt for at motregning kan finne sted. Det siste vilkåret, at motkravet må være forfalt senest samtidig med hovedkravet, volder ikke på problemer. Et krav forfaller i alminnelighet når kravshaver fremsetter påkrav om betaling, mens motkravet forfaller ved misligholdet. Om debitor i et slikt tilfelle kan fremsette sitt motkrav samtidig, volder vilkåret ingen problemer. Det første vilkåret i gjeldsbrevloven § 26 fremstår imidlertid som problematisk om bestemmelsen hadde blitt å legge til grunn: </w:t>
      </w:r>
      <w:commentRangeStart w:id="2"/>
      <w:r>
        <w:t>Det fremgår av faktum at advokatfirmaet Mørk-Kirkerud ble notifisert om overdragelsen allerede den 3. oktober, mens motkravet oppstod ikke før på et langt senere tidspunkt</w:t>
      </w:r>
      <w:commentRangeEnd w:id="2"/>
      <w:r w:rsidR="00022F2A">
        <w:rPr>
          <w:rStyle w:val="Merknadsreferanse"/>
        </w:rPr>
        <w:commentReference w:id="2"/>
      </w:r>
      <w:r>
        <w:t xml:space="preserve">. Ordlyden i gjeldsbrevloven § 26 trekker derfor i retning av at motregning ikke kan finne sted. </w:t>
      </w:r>
    </w:p>
    <w:p w14:paraId="3E327FC4" w14:textId="77777777" w:rsidR="009467DB" w:rsidRDefault="009467DB" w:rsidP="009467DB">
      <w:r>
        <w:t xml:space="preserve"> </w:t>
      </w:r>
    </w:p>
    <w:p w14:paraId="325C584C" w14:textId="77777777" w:rsidR="009467DB" w:rsidRDefault="009467DB" w:rsidP="009467DB">
      <w:r>
        <w:t xml:space="preserve">I tilfeller der fordringene er konnekse skal imidlertid ikke motregningsbedømmelsen skje etter gjeldsbrevloven § 26, men etter gjeldsbrevloven § 25. Dersom fordringene er å anse som konnekse, har motregningsinnsigelsen i så fall ikke gått tapt. Momenter til bedømmelse av om fordringene er å anse som konnekse, er bl.a. tematisert i </w:t>
      </w:r>
      <w:proofErr w:type="spellStart"/>
      <w:r>
        <w:t>Rt</w:t>
      </w:r>
      <w:proofErr w:type="spellEnd"/>
      <w:r>
        <w:t>. 1992 s. 504 (</w:t>
      </w:r>
      <w:proofErr w:type="spellStart"/>
      <w:r>
        <w:t>Factoring</w:t>
      </w:r>
      <w:proofErr w:type="spellEnd"/>
      <w:r>
        <w:t xml:space="preserve"> Finans). Mange kandidater vil sikkert trekke inn avgjørelsen og momenter som der nevnes, og det er bra. </w:t>
      </w:r>
      <w:commentRangeStart w:id="3"/>
      <w:r>
        <w:t xml:space="preserve">I den foreliggende sak </w:t>
      </w:r>
      <w:r>
        <w:lastRenderedPageBreak/>
        <w:t xml:space="preserve">skriver både dokumentet og motregningsinnsigelsen seg fra et og samme kontraktsforhold. Mens hovedkravet er del av det alminnelige hovedkravet, er motkravet er et prisavslagskrav fra det samme rettsforhold, hvilket gjør det ganske opplagt av krav og motkrav er konnekse. Motregningsretten er etter dette å anse som i behold. </w:t>
      </w:r>
      <w:commentRangeEnd w:id="3"/>
      <w:r w:rsidR="00863713">
        <w:rPr>
          <w:rStyle w:val="Merknadsreferanse"/>
        </w:rPr>
        <w:commentReference w:id="3"/>
      </w:r>
    </w:p>
    <w:p w14:paraId="1BB42A23" w14:textId="77777777" w:rsidR="009467DB" w:rsidRDefault="009467DB" w:rsidP="009467DB">
      <w:r>
        <w:t xml:space="preserve"> </w:t>
      </w:r>
    </w:p>
    <w:p w14:paraId="69C141FA" w14:textId="77777777" w:rsidR="009467DB" w:rsidRDefault="009467DB" w:rsidP="009467DB">
      <w:r>
        <w:t xml:space="preserve">Noen kandidater vil kanskje komme inn på størrelsen på krav og motkrav. Dersom det legges til grunn at Mørk-Kirkerud har et krav på prisavslag på kr. 100 000,- i relasjon til oppgave 1, vil krav og motkrav dekke hverandre beløpsmessig. Det kreves ikke at kandidatene tematiserer eller problematiserer beløpsmessige forhold ytterligere. </w:t>
      </w:r>
    </w:p>
    <w:p w14:paraId="360CF5AD" w14:textId="77777777" w:rsidR="009467DB" w:rsidRDefault="009467DB" w:rsidP="009467DB">
      <w:r>
        <w:t xml:space="preserve"> </w:t>
      </w:r>
    </w:p>
    <w:p w14:paraId="2A39D03B" w14:textId="77777777" w:rsidR="009467DB" w:rsidRDefault="009467DB" w:rsidP="009467DB">
      <w:r>
        <w:t xml:space="preserve">5.2.1 Løsning under forutsetning av at dokumentet er et (omsetnings)gjeldsbrev </w:t>
      </w:r>
    </w:p>
    <w:p w14:paraId="06F62DDF" w14:textId="77777777" w:rsidR="009467DB" w:rsidRDefault="009467DB" w:rsidP="009467DB">
      <w:r>
        <w:t xml:space="preserve"> </w:t>
      </w:r>
    </w:p>
    <w:p w14:paraId="2D4A6D99" w14:textId="77777777" w:rsidR="009467DB" w:rsidRDefault="009467DB" w:rsidP="009467DB">
      <w:r>
        <w:t>De kandidater som kommer til at dokumentet er et gjeldsbrev, vil antakelig også komme til at det er et omsetningsgjeldsbrev, jf. gjeldsbrevloven. § 11 nr. 2 («ordregjeldsbrev»). I så fall reguleres motregningsretten av gjeldsbrevloven § 18. Etter § 18 første ledd fremgår det at motregningen ikke kan skje med mindre «</w:t>
      </w:r>
      <w:proofErr w:type="spellStart"/>
      <w:r>
        <w:t>mottakaren</w:t>
      </w:r>
      <w:proofErr w:type="spellEnd"/>
      <w:r>
        <w:t xml:space="preserve"> visste at </w:t>
      </w:r>
      <w:proofErr w:type="spellStart"/>
      <w:r>
        <w:t>skyldnaren</w:t>
      </w:r>
      <w:proofErr w:type="spellEnd"/>
      <w:r>
        <w:t xml:space="preserve"> hadde </w:t>
      </w:r>
      <w:proofErr w:type="spellStart"/>
      <w:r>
        <w:t>eit</w:t>
      </w:r>
      <w:proofErr w:type="spellEnd"/>
      <w:r>
        <w:t xml:space="preserve"> krav som kunde </w:t>
      </w:r>
      <w:proofErr w:type="spellStart"/>
      <w:r>
        <w:t>nyttast</w:t>
      </w:r>
      <w:proofErr w:type="spellEnd"/>
      <w:r>
        <w:t xml:space="preserve"> til </w:t>
      </w:r>
      <w:proofErr w:type="spellStart"/>
      <w:r>
        <w:t>motrekning</w:t>
      </w:r>
      <w:proofErr w:type="spellEnd"/>
      <w:r>
        <w:t xml:space="preserve">, og måtte </w:t>
      </w:r>
      <w:proofErr w:type="spellStart"/>
      <w:r>
        <w:t>skjøna</w:t>
      </w:r>
      <w:proofErr w:type="spellEnd"/>
      <w:r>
        <w:t xml:space="preserve"> at </w:t>
      </w:r>
      <w:proofErr w:type="spellStart"/>
      <w:r>
        <w:t>skyldnaren</w:t>
      </w:r>
      <w:proofErr w:type="spellEnd"/>
      <w:r>
        <w:t xml:space="preserve"> kom til å </w:t>
      </w:r>
      <w:proofErr w:type="spellStart"/>
      <w:r>
        <w:t>lida</w:t>
      </w:r>
      <w:proofErr w:type="spellEnd"/>
      <w:r>
        <w:t xml:space="preserve"> tap, om ei avhending skulde </w:t>
      </w:r>
      <w:proofErr w:type="spellStart"/>
      <w:r>
        <w:t>stengja</w:t>
      </w:r>
      <w:proofErr w:type="spellEnd"/>
      <w:r>
        <w:t xml:space="preserve"> for dette». Disse vilkårene er ikke oppfylt. Det foreliggende krav og motkrav er imidlertid konnekse fordringer, noe som gjør at de i stedet skal behandles etter gjeldsbrevloven </w:t>
      </w:r>
      <w:r w:rsidRPr="009467DB">
        <w:t xml:space="preserve">§ 18 annet ledd. </w:t>
      </w:r>
      <w:r w:rsidRPr="00885B86">
        <w:t xml:space="preserve">Det følger av gjeldsbrevloven § 18 annet ledd at motkrav «som reiser seg </w:t>
      </w:r>
      <w:proofErr w:type="spellStart"/>
      <w:r w:rsidRPr="00885B86">
        <w:t>frå</w:t>
      </w:r>
      <w:proofErr w:type="spellEnd"/>
      <w:r w:rsidRPr="00885B86">
        <w:t xml:space="preserve"> same rettshøvet som gjeldsbrevkravet, </w:t>
      </w:r>
      <w:proofErr w:type="spellStart"/>
      <w:r w:rsidRPr="00885B86">
        <w:t>fylgjer</w:t>
      </w:r>
      <w:proofErr w:type="spellEnd"/>
      <w:r w:rsidRPr="00885B86">
        <w:t xml:space="preserve"> likevel </w:t>
      </w:r>
      <w:proofErr w:type="spellStart"/>
      <w:r w:rsidRPr="00885B86">
        <w:t>dei</w:t>
      </w:r>
      <w:proofErr w:type="spellEnd"/>
      <w:r w:rsidRPr="00885B86">
        <w:t xml:space="preserve"> </w:t>
      </w:r>
      <w:proofErr w:type="spellStart"/>
      <w:r w:rsidRPr="00885B86">
        <w:t>reglane</w:t>
      </w:r>
      <w:proofErr w:type="spellEnd"/>
      <w:r w:rsidRPr="00885B86">
        <w:t xml:space="preserve"> som gjeld om </w:t>
      </w:r>
      <w:proofErr w:type="spellStart"/>
      <w:r w:rsidRPr="00885B86">
        <w:t>motsegner</w:t>
      </w:r>
      <w:proofErr w:type="spellEnd"/>
      <w:r w:rsidRPr="00885B86">
        <w:t xml:space="preserve"> </w:t>
      </w:r>
      <w:proofErr w:type="spellStart"/>
      <w:r w:rsidRPr="00885B86">
        <w:t>frå</w:t>
      </w:r>
      <w:proofErr w:type="spellEnd"/>
      <w:r w:rsidRPr="00885B86">
        <w:t xml:space="preserve"> dette høvet», noe som innebærer at § 15 kommer til anvendelse. </w:t>
      </w:r>
      <w:r>
        <w:t xml:space="preserve">Etter § 15 første ledd nr. 2 er debitor </w:t>
      </w:r>
      <w:proofErr w:type="spellStart"/>
      <w:r>
        <w:t>cessus</w:t>
      </w:r>
      <w:proofErr w:type="spellEnd"/>
      <w:r>
        <w:t xml:space="preserve"> i utgangspunktet avskåret fra å gjøre innsigelser fra det underliggende rettsforhold, samt etter § 15 nr. 3 innsigelse som går ut på at kravet er gjort opp ved motregning. Dette gjelder imidlertid ikke dersom «</w:t>
      </w:r>
      <w:proofErr w:type="spellStart"/>
      <w:r>
        <w:t>mottakaren</w:t>
      </w:r>
      <w:proofErr w:type="spellEnd"/>
      <w:r>
        <w:t xml:space="preserve"> kjenner det </w:t>
      </w:r>
      <w:proofErr w:type="spellStart"/>
      <w:r>
        <w:t>omstendet</w:t>
      </w:r>
      <w:proofErr w:type="spellEnd"/>
      <w:r>
        <w:t xml:space="preserve"> som ho blir bygd på, eller bør ha mistanke om det», jf. § 15 annet ledd, første punktum. Det avgjørende tidspunkt for god tro-vurderingen er ervervstidspunktet, som altså er 20. oktober 2013. På dette tidspunkt var det ingen grunn til at Handelsbanken skulle ha grunn til kjennskap til motkravet, som ennå ikke var oppstått. For det tilfelle at dokumentet anses å utgjøre et (omsetnings)gjeldsbrev, foreligger altså ikke motregningsrett for Mørk Kirkeby. </w:t>
      </w:r>
      <w:r w:rsidR="003B0A7D">
        <w:rPr>
          <w:rStyle w:val="Merknadsreferanse"/>
        </w:rPr>
        <w:commentReference w:id="4"/>
      </w:r>
    </w:p>
    <w:p w14:paraId="1B5B5928" w14:textId="77777777" w:rsidR="009467DB" w:rsidRDefault="009467DB" w:rsidP="009467DB">
      <w:r>
        <w:t xml:space="preserve"> </w:t>
      </w:r>
    </w:p>
    <w:p w14:paraId="1A780D74" w14:textId="77777777" w:rsidR="009467DB" w:rsidRDefault="009467DB" w:rsidP="009467DB">
      <w:r>
        <w:t xml:space="preserve">Det er i utgangspunktet ikke riktig at gjeldsbrevet er å betrakte som et gjeldsbrev, men kandidater som kommer til dette, må like fullt honoreres om drøftelsen i forlengelsen er innsiktsfull. Det skal med andre ord ikke trekkes for følgefeil, men tvert imot honoreres for drøftelser som innehar kvaliteter, selv om de underliggende premisser ikke er korrekte. </w:t>
      </w:r>
    </w:p>
    <w:p w14:paraId="0AA8DE48" w14:textId="77777777" w:rsidR="009467DB" w:rsidRDefault="009467DB" w:rsidP="009467DB">
      <w:r>
        <w:t xml:space="preserve"> </w:t>
      </w:r>
    </w:p>
    <w:p w14:paraId="0B641A0B" w14:textId="77777777" w:rsidR="009467DB" w:rsidRDefault="009467DB" w:rsidP="009467DB">
      <w:r>
        <w:t xml:space="preserve"> </w:t>
      </w:r>
    </w:p>
    <w:p w14:paraId="1A47E014" w14:textId="77777777" w:rsidR="009467DB" w:rsidRDefault="009467DB" w:rsidP="009467DB">
      <w:r>
        <w:t xml:space="preserve">5.3 Tvisten mellom Handelsbanken og Hotellet </w:t>
      </w:r>
    </w:p>
    <w:p w14:paraId="526C2F10" w14:textId="77777777" w:rsidR="009467DB" w:rsidRDefault="009467DB" w:rsidP="009467DB">
      <w:r>
        <w:t xml:space="preserve"> </w:t>
      </w:r>
    </w:p>
    <w:p w14:paraId="1B5663D0" w14:textId="77777777" w:rsidR="009467DB" w:rsidRDefault="009467DB" w:rsidP="009467DB">
      <w:r>
        <w:t xml:space="preserve">Dette er </w:t>
      </w:r>
      <w:commentRangeStart w:id="5"/>
      <w:r>
        <w:t xml:space="preserve">muligens eksamensoppgavens vanskeligste problemstilling. </w:t>
      </w:r>
      <w:commentRangeEnd w:id="5"/>
      <w:r w:rsidR="00E7586D">
        <w:rPr>
          <w:rStyle w:val="Merknadsreferanse"/>
        </w:rPr>
        <w:commentReference w:id="5"/>
      </w:r>
    </w:p>
    <w:p w14:paraId="5C3FE4B9" w14:textId="77777777" w:rsidR="009467DB" w:rsidRDefault="009467DB" w:rsidP="009467DB">
      <w:r>
        <w:t xml:space="preserve"> </w:t>
      </w:r>
    </w:p>
    <w:p w14:paraId="1A3675F6" w14:textId="77777777" w:rsidR="009467DB" w:rsidRDefault="009467DB" w:rsidP="009467DB">
      <w:r>
        <w:lastRenderedPageBreak/>
        <w:t xml:space="preserve">Handelsbanken krever dokumentets pålydende fra Hotellet. Forutsetningen for å kunne gjøre dette, er at Mørk-Kirkerud vinner frem med sin motregningsinnsigelse (punkt 5.2 ovenfor).  </w:t>
      </w:r>
    </w:p>
    <w:p w14:paraId="36580F4C" w14:textId="77777777" w:rsidR="009467DB" w:rsidRDefault="009467DB" w:rsidP="009467DB">
      <w:r>
        <w:t xml:space="preserve"> </w:t>
      </w:r>
    </w:p>
    <w:p w14:paraId="6B4FA189" w14:textId="77777777" w:rsidR="009467DB" w:rsidRDefault="009467DB" w:rsidP="009467DB">
      <w:r>
        <w:t xml:space="preserve">Grunnlaget for å rette kravet mot Hotellet, er det såkalte veritasansvaret som kommer til uttrykk i gjeldsbrevloven § 9 første punktum, som lyder: «Når </w:t>
      </w:r>
      <w:proofErr w:type="spellStart"/>
      <w:r>
        <w:t>nokon</w:t>
      </w:r>
      <w:proofErr w:type="spellEnd"/>
      <w:r>
        <w:t xml:space="preserve"> avhender </w:t>
      </w:r>
      <w:proofErr w:type="spellStart"/>
      <w:r>
        <w:t>eit</w:t>
      </w:r>
      <w:proofErr w:type="spellEnd"/>
      <w:r>
        <w:t xml:space="preserve"> gjeldsbrev til eige eller pant, </w:t>
      </w:r>
      <w:proofErr w:type="spellStart"/>
      <w:r>
        <w:t>svarar</w:t>
      </w:r>
      <w:proofErr w:type="spellEnd"/>
      <w:r>
        <w:t xml:space="preserve"> han for at kravet er til.» Dette reiser to problemstillinger; 1) for det første om en annen etterfølgende cesjonar enn kjøper av gjeldsbrevet kan gjøre veritasansvar gjeldende, og 2) om veritasansvaret også omfatter såkalte etterfølgende mangler. </w:t>
      </w:r>
      <w:r w:rsidR="00984CA1">
        <w:rPr>
          <w:rStyle w:val="Merknadsreferanse"/>
        </w:rPr>
        <w:commentReference w:id="6"/>
      </w:r>
    </w:p>
    <w:p w14:paraId="68F4F72F" w14:textId="77777777" w:rsidR="009467DB" w:rsidRDefault="009467DB" w:rsidP="009467DB">
      <w:r>
        <w:t xml:space="preserve"> </w:t>
      </w:r>
    </w:p>
    <w:p w14:paraId="18BBAE01" w14:textId="77777777" w:rsidR="009467DB" w:rsidRDefault="009467DB" w:rsidP="009467DB">
      <w:r>
        <w:t xml:space="preserve">Ad. 1) Spørsmålet er om veritasansvaret kan gjøres gjeldende som en type </w:t>
      </w:r>
      <w:proofErr w:type="spellStart"/>
      <w:r>
        <w:t>direktekravsansvar</w:t>
      </w:r>
      <w:proofErr w:type="spellEnd"/>
      <w:r>
        <w:t xml:space="preserve"> av andre enn den direkte kjøper av gjeldsbrevet. Lovens ordlyd gir ikke noe entydig svar på dette spørsmålet. Bergsåker, Pengekrav s. 163, synes å legge til grunn at ansvaret ikke går over ved videre overdragelse av pengekrav. Det er vanlige imidlertid å anta at veritasansvaret ikke omfatter subrogasjonstilfeller der for eksempel en betalende kausjonist for debitor </w:t>
      </w:r>
      <w:proofErr w:type="spellStart"/>
      <w:r>
        <w:t>cessus</w:t>
      </w:r>
      <w:proofErr w:type="spellEnd"/>
      <w:r>
        <w:t xml:space="preserve"> trer inn i cesjonarens eventuelle veritaskrav mot cedenten. Når det kommer til direktekrav mot cedenten etter modellen «springende regress» er teorien ikke så klar. Synspunktet om uberettiget berikelse kan tale for at veritasansvaret kan gjøres gjeldende i slike tilfeller. Begge synspunkter må selvsagt aksepteres.  </w:t>
      </w:r>
    </w:p>
    <w:p w14:paraId="730F0D5D" w14:textId="77777777" w:rsidR="009467DB" w:rsidRDefault="009467DB" w:rsidP="009467DB">
      <w:r>
        <w:t xml:space="preserve"> </w:t>
      </w:r>
    </w:p>
    <w:p w14:paraId="2380A10C" w14:textId="77777777" w:rsidR="009467DB" w:rsidRDefault="009467DB" w:rsidP="009467DB">
      <w:r>
        <w:t xml:space="preserve">Noen kandidater vil </w:t>
      </w:r>
      <w:proofErr w:type="spellStart"/>
      <w:r>
        <w:t>formodenlig</w:t>
      </w:r>
      <w:proofErr w:type="spellEnd"/>
      <w:r>
        <w:t xml:space="preserve"> helt unngå gjeldsbrevloven § 9 og veritasansvaret under denne </w:t>
      </w:r>
      <w:proofErr w:type="spellStart"/>
      <w:r>
        <w:t>oppgen</w:t>
      </w:r>
      <w:proofErr w:type="spellEnd"/>
      <w:r>
        <w:t xml:space="preserve">, og heller fokusere på kjøpsloven § 84. Også dette må aksepteres om drøftelsen av kjøpsloven fremtrer som forsvarlig, jf. nedenfor. </w:t>
      </w:r>
    </w:p>
    <w:p w14:paraId="18AF115E" w14:textId="77777777" w:rsidR="009467DB" w:rsidRDefault="009467DB" w:rsidP="009467DB">
      <w:r>
        <w:t xml:space="preserve"> </w:t>
      </w:r>
    </w:p>
    <w:p w14:paraId="0F3A0BFB" w14:textId="77777777" w:rsidR="009467DB" w:rsidRDefault="009467DB" w:rsidP="009467DB">
      <w:r>
        <w:t xml:space="preserve">Ad. 2) Hotellet svarer til dette kravet at svarte at det «var uten ansvar ettersom dokumentet var gyldig og reelt». Spørsmålet blir etter dette om motregningsinnsigelsen representerer en type omstendighet som aktiverer veritasansvaret etter gjeldsbrevloven § 9. På overdragelsestidspunktet hadde verken Hotellet eller Mørk-Kirkerud noen tanke om motregningsinnsigelsen, noe som innebærer at vi står ovenfor en såkalt etterfølgende mangel ved dokumentet. </w:t>
      </w:r>
      <w:commentRangeStart w:id="7"/>
      <w:r>
        <w:t xml:space="preserve">Det er imidlertid lagt til grunn i praksis og teori at veritasansvaret omfatter både opprinnelige og etterfølgende mangler. </w:t>
      </w:r>
      <w:commentRangeEnd w:id="7"/>
      <w:r w:rsidR="00885B86">
        <w:rPr>
          <w:rStyle w:val="Merknadsreferanse"/>
        </w:rPr>
        <w:commentReference w:id="7"/>
      </w:r>
      <w:r>
        <w:t xml:space="preserve">Dette innebærer at Handelsbanken kan rette sitt krav på dokumentets pålydende mot Hotellet. </w:t>
      </w:r>
    </w:p>
    <w:p w14:paraId="40EA64F0" w14:textId="77777777" w:rsidR="009467DB" w:rsidRDefault="009467DB" w:rsidP="009467DB">
      <w:r>
        <w:t xml:space="preserve"> </w:t>
      </w:r>
    </w:p>
    <w:p w14:paraId="7B2F3356" w14:textId="77777777" w:rsidR="009467DB" w:rsidRDefault="009467DB" w:rsidP="009467DB">
      <w:r>
        <w:t xml:space="preserve">Uavhengig av om kandidaten legger til grunn at veritasansvaret kommer til anvendelse eller ei, bør det drøftes </w:t>
      </w:r>
      <w:commentRangeStart w:id="8"/>
      <w:r>
        <w:t xml:space="preserve">hvorvidt kjøpsloven kan utgjøre et rettslig grunnlag for Handelsbankens krav. </w:t>
      </w:r>
      <w:commentRangeEnd w:id="8"/>
      <w:r w:rsidR="00835888">
        <w:rPr>
          <w:rStyle w:val="Merknadsreferanse"/>
        </w:rPr>
        <w:commentReference w:id="8"/>
      </w:r>
      <w:r>
        <w:t xml:space="preserve">Det vil i så fall dreie seg om et direktekrav etter kjøpsloven § 84. Kandidaten bør imidlertid begynne med å slå fast at kjøpsloven kommer til anvendelse også ved salg av pengekrav. Deretter bør kandidaten undersøke hvorvidt motregningsinnsigelsen utgjør en mangel i kjøpslovens forstand, noe som opplagt må være tilfelle, jf. kjøpsloven § 17. </w:t>
      </w:r>
      <w:commentRangeStart w:id="9"/>
      <w:r>
        <w:t xml:space="preserve">Et problem her er det faktum at motkravet oppstår senere, slik at det kan argumenteres for at mangelen i denne forstand er etterfølgende, jf. regelen om risikoen overgang i </w:t>
      </w:r>
      <w:proofErr w:type="spellStart"/>
      <w:r>
        <w:t>kjl</w:t>
      </w:r>
      <w:proofErr w:type="spellEnd"/>
      <w:r>
        <w:t xml:space="preserve">. § 21 (1), jf. § 13 (1). Mot dette kan det bemerkes at mangelen som mulighet var til stede allerede ved overdragelsen ettersom muligheten for snøfrie helger var til stede allerede da, noe Hotellet visste om uten å ta forbehold om det, og som gjorde et motkrav nærliggende. Noen vil i denne sammenheng kanskje komme inn på § 21 (2). Det kan ikke kreves at kandidatene går inn på dette, og begge konklusjoner må aksepteres.  </w:t>
      </w:r>
      <w:commentRangeEnd w:id="9"/>
      <w:r w:rsidR="00B761C2">
        <w:rPr>
          <w:rStyle w:val="Merknadsreferanse"/>
        </w:rPr>
        <w:commentReference w:id="9"/>
      </w:r>
    </w:p>
    <w:p w14:paraId="5CD15683" w14:textId="77777777" w:rsidR="009467DB" w:rsidRDefault="009467DB" w:rsidP="009467DB">
      <w:r>
        <w:lastRenderedPageBreak/>
        <w:t xml:space="preserve"> </w:t>
      </w:r>
    </w:p>
    <w:p w14:paraId="65F0CB8F" w14:textId="77777777" w:rsidR="009467DB" w:rsidRDefault="009467DB" w:rsidP="009467DB">
      <w:r>
        <w:t xml:space="preserve">De kandidater som konkluderer med at det foreligger mangel, vil </w:t>
      </w:r>
      <w:proofErr w:type="spellStart"/>
      <w:r>
        <w:t>formodendlig</w:t>
      </w:r>
      <w:proofErr w:type="spellEnd"/>
      <w:r>
        <w:t xml:space="preserve"> gå videre med en drøftelse av om misligholdet er vesentlig og om det gir grunnlag for hevning i kombinasjon med et erstatningskrav mot Hotellet. </w:t>
      </w:r>
    </w:p>
    <w:p w14:paraId="61BE2356" w14:textId="77777777" w:rsidR="009467DB" w:rsidRDefault="009467DB" w:rsidP="009467DB">
      <w:r>
        <w:t xml:space="preserve"> </w:t>
      </w:r>
    </w:p>
    <w:p w14:paraId="565E73C8" w14:textId="77777777" w:rsidR="009467DB" w:rsidRDefault="009467DB" w:rsidP="009467DB">
      <w:r>
        <w:t xml:space="preserve">Av litteraturen fremgår det at mangler i forhold til debitor </w:t>
      </w:r>
      <w:proofErr w:type="spellStart"/>
      <w:r>
        <w:t>cessus</w:t>
      </w:r>
      <w:proofErr w:type="spellEnd"/>
      <w:r>
        <w:t xml:space="preserve"> behandles som rettsmangler i relasjon til </w:t>
      </w:r>
      <w:commentRangeStart w:id="11"/>
      <w:proofErr w:type="spellStart"/>
      <w:r>
        <w:t>gbl</w:t>
      </w:r>
      <w:proofErr w:type="spellEnd"/>
      <w:r>
        <w:t>. § 41</w:t>
      </w:r>
      <w:commentRangeEnd w:id="11"/>
      <w:r w:rsidR="00603D3F">
        <w:rPr>
          <w:rStyle w:val="Merknadsreferanse"/>
        </w:rPr>
        <w:commentReference w:id="11"/>
      </w:r>
      <w:r>
        <w:t xml:space="preserve">. Dette gjelder også motregningsinnsigelser ved overdragelse av gjeldsbrev. </w:t>
      </w:r>
      <w:commentRangeStart w:id="12"/>
      <w:r>
        <w:t>Etter § 41 annet ledd er det kun objektivt erstatningsansvar for opprinnelige rettsmangler, ikke etterfølgende.</w:t>
      </w:r>
      <w:commentRangeEnd w:id="12"/>
      <w:r w:rsidR="00954A7F">
        <w:rPr>
          <w:rStyle w:val="Merknadsreferanse"/>
        </w:rPr>
        <w:commentReference w:id="12"/>
      </w:r>
      <w:r>
        <w:t xml:space="preserve"> Dersom kandidaten kommer frem til at </w:t>
      </w:r>
      <w:commentRangeStart w:id="13"/>
      <w:r>
        <w:t>motregningsinnsigelsen er et etterfølgende rettsmangel,</w:t>
      </w:r>
      <w:commentRangeEnd w:id="13"/>
      <w:r w:rsidR="003B030A">
        <w:rPr>
          <w:rStyle w:val="Merknadsreferanse"/>
        </w:rPr>
        <w:commentReference w:id="13"/>
      </w:r>
      <w:r>
        <w:t xml:space="preserve"> foreligger i så fall </w:t>
      </w:r>
      <w:commentRangeStart w:id="14"/>
      <w:r>
        <w:t>ikke objektivt erstatningsansvar for denne</w:t>
      </w:r>
      <w:commentRangeEnd w:id="14"/>
      <w:r w:rsidR="008133D1">
        <w:rPr>
          <w:rStyle w:val="Merknadsreferanse"/>
        </w:rPr>
        <w:commentReference w:id="14"/>
      </w:r>
      <w:r>
        <w:t xml:space="preserve">. Det kan ikke forventes at kandidatene går inn på dette, men det er selvsagt positivt om de gjør det. </w:t>
      </w:r>
    </w:p>
    <w:p w14:paraId="008C9BD2" w14:textId="77777777" w:rsidR="009467DB" w:rsidRDefault="009467DB" w:rsidP="009467DB">
      <w:r>
        <w:t xml:space="preserve"> </w:t>
      </w:r>
    </w:p>
    <w:p w14:paraId="2D428ACD" w14:textId="77777777" w:rsidR="009467DB" w:rsidRDefault="009467DB" w:rsidP="009467DB">
      <w:r>
        <w:t xml:space="preserve">Når det gjelder direktekrav etter kjøpsloven § 84, vil det være tilstrekkelig at kandidatene påpeker at det dreier seg om et eventuelt </w:t>
      </w:r>
      <w:proofErr w:type="spellStart"/>
      <w:r>
        <w:t>direktekravsansvar</w:t>
      </w:r>
      <w:proofErr w:type="spellEnd"/>
      <w:r>
        <w:t xml:space="preserve"> etter </w:t>
      </w:r>
      <w:proofErr w:type="spellStart"/>
      <w:r>
        <w:t>kjl</w:t>
      </w:r>
      <w:proofErr w:type="spellEnd"/>
      <w:r>
        <w:t>. § 84 første ledd. Det er lagt til grunn i teori og praksis (</w:t>
      </w:r>
      <w:proofErr w:type="spellStart"/>
      <w:r>
        <w:t>Rt</w:t>
      </w:r>
      <w:proofErr w:type="spellEnd"/>
      <w:r>
        <w:t xml:space="preserve">. 1998 s. 656) at det dreier seg om et ansvar som følger subrogasjonsmodellen. Dette følger imidlertid ikke av ordlyden, som tvert imot trekker i retning av at også kjøper må ha et krav. Hvilken modell som legges til grunn er uansett av underordnet betydning ettersom kandidatene raskt må kunne legge til grunn at dokumentet som sådan er beheftet med mangel i relasjon til begge de nevnte </w:t>
      </w:r>
      <w:proofErr w:type="spellStart"/>
      <w:r>
        <w:t>kontraktsrelasjoner</w:t>
      </w:r>
      <w:proofErr w:type="spellEnd"/>
      <w:r>
        <w:t xml:space="preserve">. Dette innebærer at Handelsbanken kan rette mangelskrav mot hotellet i medhold av kjøpsloven. Det kan ikke kreves at kandidatene gjør mye ut av denne drøftelsen da det uansett dreier seg om et mulig subsidiært rettsgrunnlag som oppgaven ikke gir spesiell foranledning til å drøfte. </w:t>
      </w:r>
    </w:p>
    <w:p w14:paraId="6CD3A733" w14:textId="77777777" w:rsidR="009467DB" w:rsidRDefault="009467DB" w:rsidP="009467DB">
      <w:r>
        <w:t xml:space="preserve"> </w:t>
      </w:r>
    </w:p>
    <w:p w14:paraId="0EC234DF" w14:textId="77777777" w:rsidR="009467DB" w:rsidRDefault="009467DB" w:rsidP="009467DB">
      <w:r>
        <w:t xml:space="preserve"> </w:t>
      </w:r>
    </w:p>
    <w:p w14:paraId="4B730915" w14:textId="77777777" w:rsidR="009467DB" w:rsidRDefault="009467DB" w:rsidP="009467DB">
      <w:r>
        <w:t xml:space="preserve"> </w:t>
      </w:r>
    </w:p>
    <w:p w14:paraId="17303BB4" w14:textId="77777777" w:rsidR="009467DB" w:rsidRDefault="009467DB" w:rsidP="009467DB">
      <w:r>
        <w:t xml:space="preserve">5.4 Tvisten mellom Handelsbanken og Vold </w:t>
      </w:r>
    </w:p>
    <w:p w14:paraId="306F3066" w14:textId="77777777" w:rsidR="009467DB" w:rsidRDefault="009467DB" w:rsidP="009467DB">
      <w:r>
        <w:t xml:space="preserve"> </w:t>
      </w:r>
    </w:p>
    <w:p w14:paraId="34A081E3" w14:textId="77777777" w:rsidR="009467DB" w:rsidRDefault="009467DB" w:rsidP="009467DB">
      <w:proofErr w:type="gramStart"/>
      <w:r>
        <w:t>5.4.1  Innledning</w:t>
      </w:r>
      <w:proofErr w:type="gramEnd"/>
      <w:r>
        <w:t xml:space="preserve"> </w:t>
      </w:r>
    </w:p>
    <w:p w14:paraId="0CA3AA39" w14:textId="77777777" w:rsidR="009467DB" w:rsidRDefault="009467DB" w:rsidP="009467DB">
      <w:r>
        <w:t xml:space="preserve"> </w:t>
      </w:r>
    </w:p>
    <w:p w14:paraId="7DC60E7E" w14:textId="77777777" w:rsidR="009467DB" w:rsidRPr="00885B86" w:rsidRDefault="009467DB" w:rsidP="009467DB"/>
    <w:p w14:paraId="3226E40C" w14:textId="77777777" w:rsidR="009467DB" w:rsidRDefault="009467DB" w:rsidP="009467DB">
      <w:r>
        <w:t xml:space="preserve">Storvidda Handelsbank satte deretter frem krav mot Ole Volds Inkasso. Handelsbanken krevde prinsipalt at Ole Volds Inkasso innbetalte summen som følge av ansvar knyttet til transporten som sådan. Ole Volds inkasso hadde den 20. oktober 2013 solgt dokumentet til Storvidda Handelsbank med påskriften «skadesløs transport».   </w:t>
      </w:r>
    </w:p>
    <w:p w14:paraId="190765F8" w14:textId="77777777" w:rsidR="009467DB" w:rsidRDefault="009467DB" w:rsidP="009467DB">
      <w:r>
        <w:t xml:space="preserve"> </w:t>
      </w:r>
    </w:p>
    <w:p w14:paraId="4BDFAB1E" w14:textId="77777777" w:rsidR="009467DB" w:rsidRDefault="009467DB" w:rsidP="009467DB">
      <w:r>
        <w:t xml:space="preserve">Dette kravet kan tenkes underbygd rettslig på tre ulike vis: Enten ved å anføre veritasansvaret etter gjeldsbrevloven § 9, </w:t>
      </w:r>
      <w:proofErr w:type="spellStart"/>
      <w:r>
        <w:t>bonitasansvaret</w:t>
      </w:r>
      <w:proofErr w:type="spellEnd"/>
      <w:r>
        <w:t xml:space="preserve"> etter gjeldsbrevloven § 10 eller etter kjøpslovens regler. </w:t>
      </w:r>
    </w:p>
    <w:p w14:paraId="5EB47770" w14:textId="77777777" w:rsidR="009467DB" w:rsidRDefault="009467DB" w:rsidP="009467DB">
      <w:r>
        <w:t xml:space="preserve"> </w:t>
      </w:r>
    </w:p>
    <w:p w14:paraId="4C56DFD9" w14:textId="77777777" w:rsidR="009467DB" w:rsidRDefault="009467DB" w:rsidP="009467DB">
      <w:r>
        <w:lastRenderedPageBreak/>
        <w:t xml:space="preserve"> </w:t>
      </w:r>
    </w:p>
    <w:p w14:paraId="3BD671B5" w14:textId="77777777" w:rsidR="009467DB" w:rsidRDefault="009467DB" w:rsidP="009467DB">
      <w:r>
        <w:t xml:space="preserve">5.4.2 Veritasansvaret </w:t>
      </w:r>
    </w:p>
    <w:p w14:paraId="2CD4F97B" w14:textId="77777777" w:rsidR="009467DB" w:rsidRDefault="009467DB" w:rsidP="009467DB">
      <w:r>
        <w:t xml:space="preserve"> </w:t>
      </w:r>
    </w:p>
    <w:p w14:paraId="0173BD87" w14:textId="77777777" w:rsidR="009467DB" w:rsidRDefault="009467DB" w:rsidP="009467DB">
      <w:r>
        <w:t xml:space="preserve">Drøftelsen av veritasansvaret her følger på mange måter de samme linjer som drøftelsen ovenfor under punkt 5.3, dog med den forskjell at det her ikke dreier seg om å gjøre ansvaret gjeldende som et slags direktekrav, men om ansvar mellom hhv. selger og kjøper av dokumentet. Det er således liten tvil om at ansvaret som utgangspunkt gjelder mellom partene. Kandidatene vil med unntak av dette punkt nok i høy grad vise til drøftelsen foran, til tross for at overdragelsen skjedde en del senere. </w:t>
      </w:r>
    </w:p>
    <w:p w14:paraId="503A8F5A" w14:textId="77777777" w:rsidR="009467DB" w:rsidRDefault="009467DB" w:rsidP="009467DB">
      <w:r>
        <w:t xml:space="preserve"> </w:t>
      </w:r>
    </w:p>
    <w:p w14:paraId="719A4915" w14:textId="77777777" w:rsidR="009467DB" w:rsidRDefault="009467DB" w:rsidP="009467DB">
      <w:r>
        <w:t xml:space="preserve">Selv om Handelsbanken først trekker inn kravets størrelse i forbindelse med </w:t>
      </w:r>
      <w:proofErr w:type="spellStart"/>
      <w:r>
        <w:t>henvningskravet</w:t>
      </w:r>
      <w:proofErr w:type="spellEnd"/>
      <w:r>
        <w:t xml:space="preserve">, er det kanskje noen kandidater som kommer inn på kravets størrelse i henhold til veritasansvaret, noe som er positivt. Dersom veritasansvaret kan gjøres gjeldende, gir det et krav tilsvarende gjeldsbrevets pålydende, altså den positive kontraktsinteresse. </w:t>
      </w:r>
      <w:r w:rsidR="0081170F">
        <w:rPr>
          <w:rStyle w:val="Merknadsreferanse"/>
        </w:rPr>
        <w:commentReference w:id="15"/>
      </w:r>
    </w:p>
    <w:p w14:paraId="46F2AAAE" w14:textId="77777777" w:rsidR="009467DB" w:rsidRDefault="009467DB" w:rsidP="009467DB">
      <w:r>
        <w:t xml:space="preserve"> </w:t>
      </w:r>
    </w:p>
    <w:p w14:paraId="668ABF62" w14:textId="77777777" w:rsidR="009467DB" w:rsidRDefault="009467DB" w:rsidP="009467DB">
      <w:r>
        <w:t xml:space="preserve"> </w:t>
      </w:r>
    </w:p>
    <w:p w14:paraId="73DCFB33" w14:textId="77777777" w:rsidR="009467DB" w:rsidRDefault="009467DB" w:rsidP="009467DB">
      <w:r>
        <w:t xml:space="preserve">5.4.3 </w:t>
      </w:r>
      <w:proofErr w:type="spellStart"/>
      <w:r>
        <w:t>Bonitasansvaret</w:t>
      </w:r>
      <w:proofErr w:type="spellEnd"/>
      <w:r>
        <w:t xml:space="preserve"> </w:t>
      </w:r>
    </w:p>
    <w:p w14:paraId="7F9DC33E" w14:textId="77777777" w:rsidR="009467DB" w:rsidRDefault="009467DB" w:rsidP="009467DB">
      <w:r>
        <w:t xml:space="preserve"> </w:t>
      </w:r>
    </w:p>
    <w:p w14:paraId="62581B21" w14:textId="77777777" w:rsidR="009467DB" w:rsidRDefault="009467DB" w:rsidP="009467DB">
      <w:r>
        <w:t xml:space="preserve">Drøftelsen av </w:t>
      </w:r>
      <w:proofErr w:type="spellStart"/>
      <w:r>
        <w:t>bonitasansvaret</w:t>
      </w:r>
      <w:proofErr w:type="spellEnd"/>
      <w:r>
        <w:t xml:space="preserve"> vil for de fleste gjøres subsidiær i forhold til drøftelsen av veritasansvaret. Det kan ikke forlanges at kandidaten legitimerer denne drøftelsen særskilt. Oppgaven legger ved henvisningen til «skadesløs transport» opp til at den skal gjennomføres</w:t>
      </w:r>
      <w:commentRangeStart w:id="16"/>
      <w:r>
        <w:t xml:space="preserve">. </w:t>
      </w:r>
      <w:commentRangeEnd w:id="16"/>
      <w:r w:rsidR="00F36014">
        <w:rPr>
          <w:rStyle w:val="Merknadsreferanse"/>
        </w:rPr>
        <w:commentReference w:id="16"/>
      </w:r>
    </w:p>
    <w:p w14:paraId="6915B9B2" w14:textId="77777777" w:rsidR="009467DB" w:rsidRDefault="009467DB" w:rsidP="009467DB">
      <w:r>
        <w:t xml:space="preserve"> </w:t>
      </w:r>
    </w:p>
    <w:p w14:paraId="0181D369" w14:textId="77777777" w:rsidR="009467DB" w:rsidRDefault="009467DB" w:rsidP="009467DB">
      <w:proofErr w:type="spellStart"/>
      <w:r>
        <w:t>Gjeldsbrevsloven</w:t>
      </w:r>
      <w:proofErr w:type="spellEnd"/>
      <w:r>
        <w:t xml:space="preserve"> § 10 første punktum lyder: «</w:t>
      </w:r>
      <w:proofErr w:type="spellStart"/>
      <w:r>
        <w:t>Avhendaren</w:t>
      </w:r>
      <w:proofErr w:type="spellEnd"/>
      <w:r>
        <w:t xml:space="preserve"> </w:t>
      </w:r>
      <w:proofErr w:type="spellStart"/>
      <w:r>
        <w:t>svarar</w:t>
      </w:r>
      <w:proofErr w:type="spellEnd"/>
      <w:r>
        <w:t xml:space="preserve"> </w:t>
      </w:r>
      <w:proofErr w:type="spellStart"/>
      <w:r>
        <w:t>berre</w:t>
      </w:r>
      <w:proofErr w:type="spellEnd"/>
      <w:r>
        <w:t xml:space="preserve"> for at </w:t>
      </w:r>
      <w:proofErr w:type="spellStart"/>
      <w:r>
        <w:t>skyldnaren</w:t>
      </w:r>
      <w:proofErr w:type="spellEnd"/>
      <w:r>
        <w:t xml:space="preserve"> er vederheftig, når han </w:t>
      </w:r>
      <w:proofErr w:type="spellStart"/>
      <w:r>
        <w:t>tek</w:t>
      </w:r>
      <w:proofErr w:type="spellEnd"/>
      <w:r>
        <w:t xml:space="preserve"> det på seg.» </w:t>
      </w:r>
      <w:commentRangeStart w:id="17"/>
      <w:r>
        <w:t xml:space="preserve">Det er sikker rett – omtalt i samtlige versjoner av den anbefalte hovedlitteratur – at overdragelse av gjeldsbrev med påskriften «skadesløs transport» påfører cedenten sesjonsansvar. </w:t>
      </w:r>
      <w:commentRangeEnd w:id="17"/>
      <w:r w:rsidR="000C1B3C">
        <w:rPr>
          <w:rStyle w:val="Merknadsreferanse"/>
        </w:rPr>
        <w:commentReference w:id="17"/>
      </w:r>
      <w:r>
        <w:t xml:space="preserve">Analogisk anvendelse av gjeldsbrevloven § 10 på det foreliggende dokument tilsier samme løsning. Dette innebærer at Ole Volds Inkasso får ansvar som simpel kausjonist, noe som innebærer ansvar for det tilfelle at Hotellet ikke viser seg i stand til å betale kravet behandlet under punkt 5.3. Det er ingenting som tilsier at Hotellet ikke skulle kunne betale dette kravet. Selv om et </w:t>
      </w:r>
      <w:proofErr w:type="spellStart"/>
      <w:r>
        <w:t>bonitasansvar</w:t>
      </w:r>
      <w:proofErr w:type="spellEnd"/>
      <w:r>
        <w:t xml:space="preserve"> for Vold eventuelt foreligger, vil det altså neppe blir realisert. </w:t>
      </w:r>
    </w:p>
    <w:p w14:paraId="6C980C47" w14:textId="77777777" w:rsidR="009467DB" w:rsidRDefault="009467DB" w:rsidP="009467DB">
      <w:r>
        <w:t xml:space="preserve"> </w:t>
      </w:r>
    </w:p>
    <w:p w14:paraId="201BF549" w14:textId="77777777" w:rsidR="009467DB" w:rsidRDefault="009467DB" w:rsidP="009467DB">
      <w:r>
        <w:t xml:space="preserve"> </w:t>
      </w:r>
    </w:p>
    <w:p w14:paraId="6B9DA957" w14:textId="77777777" w:rsidR="009467DB" w:rsidRDefault="009467DB" w:rsidP="009467DB">
      <w:r>
        <w:t xml:space="preserve">5.4.5 Heving </w:t>
      </w:r>
    </w:p>
    <w:p w14:paraId="1A7654CF" w14:textId="77777777" w:rsidR="009467DB" w:rsidRDefault="009467DB" w:rsidP="009467DB">
      <w:r>
        <w:t xml:space="preserve"> </w:t>
      </w:r>
    </w:p>
    <w:p w14:paraId="48A059BF" w14:textId="77777777" w:rsidR="009467DB" w:rsidRDefault="009467DB" w:rsidP="009467DB">
      <w:r>
        <w:t xml:space="preserve">Subsidiært hevet Handelsbanken avtalen med Ole Volds Inkasso, og krevde i denne forbindelse at Ole Volds inkasso dekket deres kontraktsinteresse. Storvidda Handelsbank hadde kjøpt dokumentet for kr. 95 000,-. Det dreier seg her om heving og erstatning etter kjøpslovens bestemmelser. Drøftelsen av kjøpsloven og beføyelsene i medhold av denne vil </w:t>
      </w:r>
      <w:proofErr w:type="spellStart"/>
      <w:r>
        <w:t>formodenlig</w:t>
      </w:r>
      <w:proofErr w:type="spellEnd"/>
      <w:r>
        <w:t xml:space="preserve"> følge følger mønster av drøftelsen </w:t>
      </w:r>
      <w:r>
        <w:lastRenderedPageBreak/>
        <w:t xml:space="preserve">under punkt 5.3, dog med unntak av § 84 ettersom det her ikke dreier seg om et direktekrav. Det er således tilstrekkelig om kandidatene på dette punkt viser til drøftelsen foran. </w:t>
      </w:r>
    </w:p>
    <w:p w14:paraId="4A9FD857" w14:textId="77777777" w:rsidR="009467DB" w:rsidRDefault="009467DB" w:rsidP="009467DB">
      <w:r>
        <w:t xml:space="preserve"> </w:t>
      </w:r>
    </w:p>
    <w:p w14:paraId="713B6748" w14:textId="77777777" w:rsidR="009467DB" w:rsidRDefault="009467DB" w:rsidP="009467DB">
      <w:r>
        <w:t xml:space="preserve">Heving innebærer som utgangspunkt at partenes ytelser tilbakeføres, jf. </w:t>
      </w:r>
      <w:proofErr w:type="spellStart"/>
      <w:r>
        <w:t>kjl</w:t>
      </w:r>
      <w:proofErr w:type="spellEnd"/>
      <w:r>
        <w:t xml:space="preserve">. § 64 (2), hvilket innebærer at hhv. dokumentet og gjeldsbrevet tilbakeføres. I tillegg til denne restitusjonen, vil kjøper kunne kreve det tap dekket som han er påført ved kontraktsbruddet, jf. § 67, jf. § 40. I utgangspunktet er dette en henvisning til den positive kontraktsinteresse, hvilket gir et krav på kr. 100 000,- om man først har kommet til at dokumentet lider av mangel. Dette er imidlertid ikke sikkert, jf. drøftelsen under pkt. 5.3. </w:t>
      </w:r>
    </w:p>
    <w:p w14:paraId="0EF621A8" w14:textId="77777777" w:rsidR="009467DB" w:rsidRDefault="009467DB" w:rsidP="009467DB">
      <w:r>
        <w:t xml:space="preserve"> </w:t>
      </w:r>
    </w:p>
    <w:p w14:paraId="1375DE1C" w14:textId="77777777" w:rsidR="009467DB" w:rsidRDefault="009467DB" w:rsidP="009467DB">
      <w:r>
        <w:t xml:space="preserve">Mange kandidater vil kanskje velge å holde seg til § 41 også her for erstatningskravets del, noe som også må aksepteres. I så fall blir drøftelsen ganske lik drøftelsen under punkt 5.3, herunder hva gjelder sondringer mellom opprinnelig og etterfølgende rettsmangel som gjøres i § 41 (2). </w:t>
      </w:r>
    </w:p>
    <w:p w14:paraId="2BD694DE" w14:textId="77777777" w:rsidR="009467DB" w:rsidRDefault="009467DB" w:rsidP="009467DB">
      <w:r>
        <w:t xml:space="preserve"> </w:t>
      </w:r>
    </w:p>
    <w:p w14:paraId="6219C111" w14:textId="77777777" w:rsidR="009467DB" w:rsidRDefault="009467DB" w:rsidP="009467DB">
      <w:r>
        <w:t xml:space="preserve">Det skal avslutningsvis bemerkes at også denne del av oppgaven II fremtrer som vanskelig, slik at bare de aller beste kandidatene vil være i nærheten av å komme inn på de ovenfor nevnte omstendigheter.  </w:t>
      </w:r>
    </w:p>
    <w:p w14:paraId="1110A0C4" w14:textId="77777777" w:rsidR="009467DB" w:rsidRDefault="009467DB" w:rsidP="009467DB">
      <w:r>
        <w:t xml:space="preserve"> </w:t>
      </w:r>
    </w:p>
    <w:p w14:paraId="45F42EC8" w14:textId="77777777" w:rsidR="009467DB" w:rsidRDefault="009467DB" w:rsidP="009467DB">
      <w:r>
        <w:t xml:space="preserve"> </w:t>
      </w:r>
    </w:p>
    <w:p w14:paraId="43B3959C" w14:textId="77777777" w:rsidR="009467DB" w:rsidRDefault="009467DB" w:rsidP="009467DB">
      <w:r>
        <w:t xml:space="preserve">6. Vurdering </w:t>
      </w:r>
    </w:p>
    <w:p w14:paraId="5B7F4B2D" w14:textId="77777777" w:rsidR="009467DB" w:rsidRDefault="009467DB" w:rsidP="009467DB">
      <w:r>
        <w:t xml:space="preserve"> </w:t>
      </w:r>
    </w:p>
    <w:p w14:paraId="3D73DE75" w14:textId="77777777" w:rsidR="009467DB" w:rsidRDefault="009467DB" w:rsidP="009467DB">
      <w:r>
        <w:t xml:space="preserve">Oppgavens tematikk må gjennomgående anses å tilhøre obligasjonsrettens sentrale deler. Oppgaven må like fullt kunne sies å reise en del problemstillinger som stiller svært høye krav til kandidatene. Oppgaven er dessuten meget omfattende om en skal dekke alle de problemstillinger som reises. For å kompensere for disse to forhold må det tolereres en del avvik. Dette innebærer at besvarelser kan tildeles beste karakter – altså A – til tross for at ikke alt er løst, og til tross for at deler av besvarelsen avviker fra løsningsforslagene i denne veiledning. Sensorene må her selv se an hvilket nivå som representerer «den jevne kandidat» for fordele karakterene ut fra dette. Denne veiledning er skrevet uten at jeg har lest noen av oppgavene, og jeg kommer heller ikke til å delta på den aktuelle sensuren. Jeg kommer imidlertid til å delta på sensormøtet, og vil gjøre justeringer i denne veiledning ut fra det som måtte fremkomme der. </w:t>
      </w:r>
    </w:p>
    <w:p w14:paraId="2129F191" w14:textId="77777777" w:rsidR="009467DB" w:rsidRDefault="009467DB" w:rsidP="009467DB">
      <w:r>
        <w:t xml:space="preserve"> </w:t>
      </w:r>
    </w:p>
    <w:p w14:paraId="612510F4" w14:textId="77777777" w:rsidR="009467DB" w:rsidRDefault="009467DB" w:rsidP="009467DB">
      <w:r>
        <w:t xml:space="preserve">Under arbeidet i eksamensutvalget ble det lagt til grunn at del I var vesentlig mer omfattende enn del II. Etter å ha skrevet veiledningen innser jeg at dette ikke nødvendigvis trenger fortone seg slik for kandidatene. Dersom en kandidat skriver en svært fyldig besvarelse under del II, må det aksepteres en noe kortere besvarelse for del I. De vanskeligste rettslige problemstillingene reiser seg gjennomgående under del II, og dette tilhører formodentlig også en del av den anbefalte hovedlitteratur som ikke har fått like stor oppmerksomhet som spørsmålene om hevning og prisavslag i del I.  </w:t>
      </w:r>
    </w:p>
    <w:p w14:paraId="66085334" w14:textId="77777777" w:rsidR="009467DB" w:rsidRDefault="009467DB" w:rsidP="009467DB">
      <w:r>
        <w:t xml:space="preserve"> </w:t>
      </w:r>
    </w:p>
    <w:p w14:paraId="686CE7AD" w14:textId="77777777" w:rsidR="009467DB" w:rsidRDefault="009467DB" w:rsidP="009467DB">
      <w:r>
        <w:lastRenderedPageBreak/>
        <w:t xml:space="preserve"> </w:t>
      </w:r>
    </w:p>
    <w:p w14:paraId="3500C65E" w14:textId="77777777" w:rsidR="009467DB" w:rsidRDefault="009467DB" w:rsidP="009467DB">
      <w:r>
        <w:t xml:space="preserve">Med vennlig hilsen </w:t>
      </w:r>
    </w:p>
    <w:p w14:paraId="79C6DAEA" w14:textId="77777777" w:rsidR="009467DB" w:rsidRDefault="009467DB" w:rsidP="009467DB">
      <w:r>
        <w:t xml:space="preserve"> </w:t>
      </w:r>
    </w:p>
    <w:p w14:paraId="5CC929E2" w14:textId="77777777" w:rsidR="009467DB" w:rsidRDefault="009467DB" w:rsidP="009467DB">
      <w:r>
        <w:t xml:space="preserve"> </w:t>
      </w:r>
    </w:p>
    <w:p w14:paraId="2C58AC14" w14:textId="77777777" w:rsidR="009467DB" w:rsidRDefault="009467DB" w:rsidP="009467DB">
      <w:r>
        <w:t xml:space="preserve">Alf Petter Høgberg </w:t>
      </w:r>
    </w:p>
    <w:p w14:paraId="60CE4119" w14:textId="77777777" w:rsidR="006F327B" w:rsidRDefault="00835888"/>
    <w:sectPr w:rsidR="006F327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nut Sande" w:date="2019-08-20T17:11:00Z" w:initials="KS">
    <w:p w14:paraId="7FF402FC" w14:textId="77777777" w:rsidR="009B53D6" w:rsidRDefault="009B53D6">
      <w:pPr>
        <w:pStyle w:val="Merknadstekst"/>
      </w:pPr>
      <w:r>
        <w:rPr>
          <w:rStyle w:val="Merknadsreferanse"/>
        </w:rPr>
        <w:annotationRef/>
      </w:r>
      <w:r>
        <w:t>Ikke riktig</w:t>
      </w:r>
    </w:p>
  </w:comment>
  <w:comment w:id="1" w:author="Knut Sande" w:date="2019-08-20T17:22:00Z" w:initials="KS">
    <w:p w14:paraId="01E184B6" w14:textId="34A78D96" w:rsidR="009E1C9F" w:rsidRDefault="009E1C9F">
      <w:pPr>
        <w:pStyle w:val="Merknadstekst"/>
      </w:pPr>
      <w:r>
        <w:rPr>
          <w:rStyle w:val="Merknadsreferanse"/>
        </w:rPr>
        <w:annotationRef/>
      </w:r>
      <w:r>
        <w:t xml:space="preserve">I overkant teoretisk å trekke inn § 26 i såpass stor utstrekning som sensorveiledningen gjør. Ved </w:t>
      </w:r>
      <w:r w:rsidRPr="00013E50">
        <w:rPr>
          <w:b/>
          <w:i/>
        </w:rPr>
        <w:t>konnekse motkrav</w:t>
      </w:r>
      <w:r>
        <w:t>, som krav på prisavslag VS vederlag</w:t>
      </w:r>
      <w:r w:rsidR="00013E50">
        <w:t xml:space="preserve"> er et skoleeksempel på</w:t>
      </w:r>
      <w:r>
        <w:t xml:space="preserve">, reguleres debitor </w:t>
      </w:r>
      <w:proofErr w:type="spellStart"/>
      <w:r>
        <w:t>cessus</w:t>
      </w:r>
      <w:proofErr w:type="spellEnd"/>
      <w:r>
        <w:t>’ motregningsadgang av § 25</w:t>
      </w:r>
      <w:r w:rsidR="00013E50">
        <w:t xml:space="preserve">, </w:t>
      </w:r>
      <w:proofErr w:type="spellStart"/>
      <w:r w:rsidR="00013E50">
        <w:t>jf</w:t>
      </w:r>
      <w:proofErr w:type="spellEnd"/>
      <w:r w:rsidR="00013E50">
        <w:t xml:space="preserve"> også </w:t>
      </w:r>
      <w:proofErr w:type="spellStart"/>
      <w:r w:rsidR="00D927C4" w:rsidRPr="00D927C4">
        <w:t>Rt</w:t>
      </w:r>
      <w:proofErr w:type="spellEnd"/>
      <w:r w:rsidR="00D927C4" w:rsidRPr="00D927C4">
        <w:t>.</w:t>
      </w:r>
      <w:r w:rsidR="00D927C4">
        <w:t xml:space="preserve"> 1992 s. 504 (</w:t>
      </w:r>
      <w:proofErr w:type="spellStart"/>
      <w:r w:rsidR="00D927C4">
        <w:t>Factoring</w:t>
      </w:r>
      <w:proofErr w:type="spellEnd"/>
      <w:r w:rsidR="00D927C4">
        <w:t xml:space="preserve"> Finans)</w:t>
      </w:r>
      <w:r>
        <w:t>. I praksis betyr dette at debitor ikke mister motregningsretten ved senere overdragelse av hovedkravet</w:t>
      </w:r>
    </w:p>
  </w:comment>
  <w:comment w:id="2" w:author="Knut Sande" w:date="2019-11-28T08:18:00Z" w:initials="ks">
    <w:p w14:paraId="2A1E7525" w14:textId="16061BEF" w:rsidR="00022F2A" w:rsidRDefault="00022F2A">
      <w:pPr>
        <w:pStyle w:val="Merknadstekst"/>
      </w:pPr>
      <w:r>
        <w:rPr>
          <w:rStyle w:val="Merknadsreferanse"/>
        </w:rPr>
        <w:annotationRef/>
      </w:r>
      <w:r>
        <w:t xml:space="preserve">Nettopp, og </w:t>
      </w:r>
      <w:r w:rsidR="00863713">
        <w:t xml:space="preserve">også </w:t>
      </w:r>
      <w:r>
        <w:t>derfor er det ikke lett å forstå hvorfor sensorveiledningen bruker såpass lang tid på</w:t>
      </w:r>
      <w:r w:rsidR="004343F6">
        <w:t xml:space="preserve"> å diskutere motregningsadgang etter</w:t>
      </w:r>
      <w:r>
        <w:t xml:space="preserve"> § </w:t>
      </w:r>
      <w:proofErr w:type="gramStart"/>
      <w:r>
        <w:t>26…</w:t>
      </w:r>
      <w:proofErr w:type="gramEnd"/>
    </w:p>
  </w:comment>
  <w:comment w:id="3" w:author="Knut Sande" w:date="2019-11-28T08:20:00Z" w:initials="ks">
    <w:p w14:paraId="1AEB6092" w14:textId="6BE0C311" w:rsidR="00863713" w:rsidRDefault="00863713">
      <w:pPr>
        <w:pStyle w:val="Merknadstekst"/>
      </w:pPr>
      <w:r>
        <w:rPr>
          <w:rStyle w:val="Merknadsreferanse"/>
        </w:rPr>
        <w:annotationRef/>
      </w:r>
      <w:r>
        <w:rPr>
          <w:rStyle w:val="Merknadsreferanse"/>
        </w:rPr>
        <w:t xml:space="preserve">PS: Prisavslagskrav er det vanligere å omtale som en «innsigelse» mot realdebitors vederlagskrav enn som et «konnekst motkrav». Dette spiller imidlertid ingen rolle her, </w:t>
      </w:r>
      <w:proofErr w:type="spellStart"/>
      <w:r>
        <w:rPr>
          <w:rStyle w:val="Merknadsreferanse"/>
        </w:rPr>
        <w:t>pga</w:t>
      </w:r>
      <w:proofErr w:type="spellEnd"/>
      <w:r>
        <w:rPr>
          <w:rStyle w:val="Merknadsreferanse"/>
        </w:rPr>
        <w:t xml:space="preserve"> konnekse motkrav skal bedømmes på samme måte som innsigelser etter § 25, </w:t>
      </w:r>
      <w:proofErr w:type="spellStart"/>
      <w:r>
        <w:rPr>
          <w:rStyle w:val="Merknadsreferanse"/>
        </w:rPr>
        <w:t>jf</w:t>
      </w:r>
      <w:proofErr w:type="spellEnd"/>
      <w:r>
        <w:rPr>
          <w:rStyle w:val="Merknadsreferanse"/>
        </w:rPr>
        <w:t xml:space="preserve"> </w:t>
      </w:r>
      <w:proofErr w:type="spellStart"/>
      <w:r>
        <w:rPr>
          <w:rStyle w:val="Merknadsreferanse"/>
        </w:rPr>
        <w:t>Factoring</w:t>
      </w:r>
      <w:proofErr w:type="spellEnd"/>
      <w:r>
        <w:rPr>
          <w:rStyle w:val="Merknadsreferanse"/>
        </w:rPr>
        <w:t xml:space="preserve"> Finans</w:t>
      </w:r>
    </w:p>
  </w:comment>
  <w:comment w:id="4" w:author="Knut Sande" w:date="2019-08-20T17:31:00Z" w:initials="KS">
    <w:p w14:paraId="02D1AD54" w14:textId="75185F04" w:rsidR="003B0A7D" w:rsidRDefault="003B0A7D">
      <w:pPr>
        <w:pStyle w:val="Merknadstekst"/>
      </w:pPr>
      <w:r>
        <w:rPr>
          <w:rStyle w:val="Merknadsreferanse"/>
        </w:rPr>
        <w:annotationRef/>
      </w:r>
      <w:r>
        <w:t>Enig</w:t>
      </w:r>
    </w:p>
  </w:comment>
  <w:comment w:id="5" w:author="Knut Sande" w:date="2019-08-20T17:43:00Z" w:initials="KS">
    <w:p w14:paraId="5BE6652D" w14:textId="5612998B" w:rsidR="00F5125C" w:rsidRDefault="00E7586D">
      <w:pPr>
        <w:pStyle w:val="Merknadstekst"/>
      </w:pPr>
      <w:r>
        <w:rPr>
          <w:rStyle w:val="Merknadsreferanse"/>
        </w:rPr>
        <w:annotationRef/>
      </w:r>
      <w:r>
        <w:t xml:space="preserve">Tja, jeg synes kanskje dette er en overdrivelse. </w:t>
      </w:r>
      <w:r w:rsidRPr="00E7586D">
        <w:rPr>
          <w:lang w:val="nn-NO"/>
        </w:rPr>
        <w:t xml:space="preserve">Etter mitt syn har kravet ganske grei forankring i </w:t>
      </w:r>
      <w:proofErr w:type="spellStart"/>
      <w:r w:rsidRPr="00E7586D">
        <w:rPr>
          <w:lang w:val="nn-NO"/>
        </w:rPr>
        <w:t>gbl</w:t>
      </w:r>
      <w:proofErr w:type="spellEnd"/>
      <w:r w:rsidRPr="00E7586D">
        <w:rPr>
          <w:lang w:val="nn-NO"/>
        </w:rPr>
        <w:t xml:space="preserve">. § 9, </w:t>
      </w:r>
      <w:proofErr w:type="spellStart"/>
      <w:r w:rsidRPr="00E7586D">
        <w:rPr>
          <w:lang w:val="nn-NO"/>
        </w:rPr>
        <w:t>jf</w:t>
      </w:r>
      <w:proofErr w:type="spellEnd"/>
      <w:r w:rsidRPr="00E7586D">
        <w:rPr>
          <w:lang w:val="nn-NO"/>
        </w:rPr>
        <w:t xml:space="preserve"> </w:t>
      </w:r>
      <w:proofErr w:type="spellStart"/>
      <w:r w:rsidRPr="00E7586D">
        <w:rPr>
          <w:lang w:val="nn-NO"/>
        </w:rPr>
        <w:t>kjl</w:t>
      </w:r>
      <w:proofErr w:type="spellEnd"/>
      <w:r w:rsidRPr="00E7586D">
        <w:rPr>
          <w:lang w:val="nn-NO"/>
        </w:rPr>
        <w:t xml:space="preserve">. </w:t>
      </w:r>
      <w:r w:rsidRPr="00984CA1">
        <w:t xml:space="preserve">§ </w:t>
      </w:r>
      <w:r w:rsidR="00F5125C">
        <w:t xml:space="preserve">84. Skal jeg være ærlig, synes jeg rett og slett at sensorveiledningen </w:t>
      </w:r>
      <w:proofErr w:type="spellStart"/>
      <w:r w:rsidR="00F5125C">
        <w:t>overkompliserer</w:t>
      </w:r>
      <w:proofErr w:type="spellEnd"/>
      <w:r w:rsidR="00F5125C">
        <w:t xml:space="preserve"> spørsmålet. </w:t>
      </w:r>
    </w:p>
    <w:p w14:paraId="22993F37" w14:textId="6C1AF306" w:rsidR="00F5125C" w:rsidRDefault="00F5125C">
      <w:pPr>
        <w:pStyle w:val="Merknadstekst"/>
      </w:pPr>
    </w:p>
    <w:p w14:paraId="3F6EDC55" w14:textId="07877C0E" w:rsidR="00F5125C" w:rsidRDefault="00F5125C">
      <w:pPr>
        <w:pStyle w:val="Merknadstekst"/>
      </w:pPr>
      <w:r>
        <w:t>Lang historie kort, mener jeg dette er et treffende resonnement:</w:t>
      </w:r>
    </w:p>
    <w:p w14:paraId="73AED842" w14:textId="15AB5E81" w:rsidR="00F5125C" w:rsidRDefault="00F5125C">
      <w:pPr>
        <w:pStyle w:val="Merknadstekst"/>
      </w:pPr>
    </w:p>
    <w:p w14:paraId="6A553E85" w14:textId="0650C0EF" w:rsidR="00F5125C" w:rsidRDefault="00F5125C">
      <w:pPr>
        <w:pStyle w:val="Merknadstekst"/>
      </w:pPr>
      <w:r>
        <w:t xml:space="preserve">- </w:t>
      </w:r>
      <w:proofErr w:type="spellStart"/>
      <w:r>
        <w:t>Kjl</w:t>
      </w:r>
      <w:proofErr w:type="spellEnd"/>
      <w:r>
        <w:t>. § 84 gir cesjonaren rett til direktekrav etter subrogasjonsmodellen mot cedentens cedent for krav som følge av mangel.</w:t>
      </w:r>
    </w:p>
    <w:p w14:paraId="63063EFA" w14:textId="01AAF8D5" w:rsidR="00F5125C" w:rsidRDefault="00F5125C">
      <w:pPr>
        <w:pStyle w:val="Merknadstekst"/>
      </w:pPr>
    </w:p>
    <w:p w14:paraId="1718A819" w14:textId="57886F34" w:rsidR="00F5125C" w:rsidRDefault="00F5125C">
      <w:pPr>
        <w:pStyle w:val="Merknadstekst"/>
      </w:pPr>
      <w:r>
        <w:t xml:space="preserve">- I vår sak foreligger det både mangel og ansvarsgrunnlag etter veritasansvaret i </w:t>
      </w:r>
      <w:proofErr w:type="spellStart"/>
      <w:r>
        <w:t>gbl</w:t>
      </w:r>
      <w:proofErr w:type="spellEnd"/>
      <w:r>
        <w:t>. § 9 1. pkt.</w:t>
      </w:r>
    </w:p>
    <w:p w14:paraId="7771AE80" w14:textId="77777777" w:rsidR="00F5125C" w:rsidRDefault="00F5125C">
      <w:pPr>
        <w:pStyle w:val="Merknadstekst"/>
      </w:pPr>
    </w:p>
    <w:p w14:paraId="3BE82255" w14:textId="6A313371" w:rsidR="00642C59" w:rsidRDefault="00642C59">
      <w:pPr>
        <w:pStyle w:val="Merknadstekst"/>
      </w:pPr>
      <w:r>
        <w:t>Konkl</w:t>
      </w:r>
      <w:r w:rsidR="00506B47">
        <w:t>usjon: Handelsbanken kan kreve dokumentets pålydende fra Hotellet.</w:t>
      </w:r>
    </w:p>
    <w:p w14:paraId="7C8F76D9" w14:textId="26CF6C41" w:rsidR="00C86D35" w:rsidRDefault="00C86D35">
      <w:pPr>
        <w:pStyle w:val="Merknadstekst"/>
      </w:pPr>
    </w:p>
    <w:p w14:paraId="7E78B22E" w14:textId="58BF14EC" w:rsidR="00C86D35" w:rsidRPr="00984CA1" w:rsidRDefault="00C86D35">
      <w:pPr>
        <w:pStyle w:val="Merknadstekst"/>
      </w:pPr>
      <w:r>
        <w:t xml:space="preserve">PS: Reglene her er de samme for omsetningsgjeldsbrev, enkle gjeldsbrev og </w:t>
      </w:r>
      <w:r w:rsidR="00D51AF7">
        <w:t>andre</w:t>
      </w:r>
      <w:r>
        <w:t xml:space="preserve"> pengekrav.</w:t>
      </w:r>
    </w:p>
  </w:comment>
  <w:comment w:id="6" w:author="Knut Sande" w:date="2019-08-20T17:44:00Z" w:initials="KS">
    <w:p w14:paraId="06E362FB" w14:textId="4C0D0953" w:rsidR="00984CA1" w:rsidRDefault="00984CA1">
      <w:pPr>
        <w:pStyle w:val="Merknadstekst"/>
      </w:pPr>
      <w:r>
        <w:rPr>
          <w:rStyle w:val="Merknadsreferanse"/>
        </w:rPr>
        <w:annotationRef/>
      </w:r>
      <w:r>
        <w:t xml:space="preserve">Kort svar: Cesjonaren kan gjøre «krav som følge av mangel» gjeldende mot tidligere ledd etter </w:t>
      </w:r>
      <w:proofErr w:type="spellStart"/>
      <w:r>
        <w:t>kjl</w:t>
      </w:r>
      <w:proofErr w:type="spellEnd"/>
      <w:r>
        <w:t xml:space="preserve">. § 84. Debitors prisavslag er en etterfølgende rettsmangel, som er omfattet av veritasansvaret i § 9 1. pkt. </w:t>
      </w:r>
    </w:p>
  </w:comment>
  <w:comment w:id="7" w:author="Knut Sande" w:date="2019-11-28T13:43:00Z" w:initials="KS">
    <w:p w14:paraId="6709EF5E" w14:textId="55F04E67" w:rsidR="00885B86" w:rsidRDefault="00885B86">
      <w:pPr>
        <w:pStyle w:val="Merknadstekst"/>
      </w:pPr>
      <w:r>
        <w:rPr>
          <w:rStyle w:val="Merknadsreferanse"/>
        </w:rPr>
        <w:annotationRef/>
      </w:r>
      <w:r>
        <w:t>Litt tvilsomt om veritasansvaret omfatter al</w:t>
      </w:r>
      <w:r w:rsidR="00A74E54">
        <w:t>le etterfølgende mangler, men alle er enige om at etterfølgende debitorinnsigelser som består i motregning med konnekse motkrav, omfattes av veritasansvaret</w:t>
      </w:r>
    </w:p>
  </w:comment>
  <w:comment w:id="8" w:author="knut sande" w:date="2020-04-20T22:04:00Z" w:initials="ks">
    <w:p w14:paraId="16558FE2" w14:textId="4A11AAE7" w:rsidR="00835888" w:rsidRDefault="00835888" w:rsidP="00835888">
      <w:pPr>
        <w:pStyle w:val="Merknadstekst"/>
      </w:pPr>
      <w:r>
        <w:rPr>
          <w:rStyle w:val="Merknadsreferanse"/>
        </w:rPr>
        <w:annotationRef/>
      </w:r>
      <w:r>
        <w:t xml:space="preserve">For meg er det uklart hva forfatteren mener her. På den ene siden tenker jeg at det er all mulig grunn til å få tydelig frem at </w:t>
      </w:r>
      <w:proofErr w:type="spellStart"/>
      <w:r>
        <w:t>kjl</w:t>
      </w:r>
      <w:proofErr w:type="spellEnd"/>
      <w:r>
        <w:t xml:space="preserve">. § 41, til forskjell fra </w:t>
      </w:r>
      <w:proofErr w:type="spellStart"/>
      <w:r>
        <w:t>gbl</w:t>
      </w:r>
      <w:proofErr w:type="spellEnd"/>
      <w:r>
        <w:t xml:space="preserve">. § 9, ikke omfatter etterfølgende rettsmangler. På den annen side er det på det rene at både </w:t>
      </w:r>
      <w:proofErr w:type="spellStart"/>
      <w:r>
        <w:t>kjl</w:t>
      </w:r>
      <w:proofErr w:type="spellEnd"/>
      <w:r>
        <w:t xml:space="preserve">. og </w:t>
      </w:r>
      <w:proofErr w:type="spellStart"/>
      <w:r>
        <w:t>gbl</w:t>
      </w:r>
      <w:proofErr w:type="spellEnd"/>
      <w:r>
        <w:t xml:space="preserve">. får anvendelse ved kjøp av pengekrav/omsetningsgjeldsbrev. Mao: Bestemmelsene i </w:t>
      </w:r>
      <w:proofErr w:type="spellStart"/>
      <w:r>
        <w:t>gbl</w:t>
      </w:r>
      <w:proofErr w:type="spellEnd"/>
      <w:r>
        <w:t xml:space="preserve">. §§ 9 og 10 kommer inn ved </w:t>
      </w:r>
      <w:proofErr w:type="spellStart"/>
      <w:r>
        <w:t>mangelsvurderingen</w:t>
      </w:r>
      <w:proofErr w:type="spellEnd"/>
      <w:r>
        <w:t xml:space="preserve"> etter </w:t>
      </w:r>
      <w:proofErr w:type="spellStart"/>
      <w:r>
        <w:t>kjl</w:t>
      </w:r>
      <w:proofErr w:type="spellEnd"/>
      <w:r>
        <w:t xml:space="preserve">. Ut </w:t>
      </w:r>
      <w:proofErr w:type="spellStart"/>
      <w:r>
        <w:t>i fra</w:t>
      </w:r>
      <w:proofErr w:type="spellEnd"/>
      <w:r>
        <w:t xml:space="preserve"> helt vanlige «fra det mer til det mindre»- betraktninger må </w:t>
      </w:r>
      <w:proofErr w:type="spellStart"/>
      <w:r>
        <w:t>gbl</w:t>
      </w:r>
      <w:proofErr w:type="spellEnd"/>
      <w:r>
        <w:t xml:space="preserve">. §§ 9 og 10 anses å regulere </w:t>
      </w:r>
      <w:proofErr w:type="spellStart"/>
      <w:r>
        <w:t>mangelsspørsmålet</w:t>
      </w:r>
      <w:proofErr w:type="spellEnd"/>
      <w:r>
        <w:t xml:space="preserve"> også – ikke bare spørsmålet om ansvarsgrunnlag. Det gir ikke mening om det skulle foreligge ansvarsgrunnlag uten at det også foreligger mislighold.</w:t>
      </w:r>
    </w:p>
  </w:comment>
  <w:comment w:id="9" w:author="Knut Sande" w:date="2019-08-20T17:49:00Z" w:initials="KS">
    <w:p w14:paraId="2CC2F168" w14:textId="3244DAF9" w:rsidR="00B761C2" w:rsidRDefault="00B761C2">
      <w:pPr>
        <w:pStyle w:val="Merknadstekst"/>
      </w:pPr>
      <w:r>
        <w:rPr>
          <w:rStyle w:val="Merknadsreferanse"/>
        </w:rPr>
        <w:annotationRef/>
      </w:r>
      <w:bookmarkStart w:id="10" w:name="_GoBack"/>
      <w:bookmarkEnd w:id="10"/>
      <w:r>
        <w:t xml:space="preserve">Etter mitt syn er dette en </w:t>
      </w:r>
      <w:proofErr w:type="spellStart"/>
      <w:r>
        <w:t>overkomplisering</w:t>
      </w:r>
      <w:proofErr w:type="spellEnd"/>
      <w:r>
        <w:t xml:space="preserve">. At det foreligger en mangel ved overføringen av kravet, følger uten videre av </w:t>
      </w:r>
      <w:proofErr w:type="spellStart"/>
      <w:r>
        <w:t>gbl</w:t>
      </w:r>
      <w:proofErr w:type="spellEnd"/>
      <w:r>
        <w:t xml:space="preserve">. § 9; at debitor </w:t>
      </w:r>
      <w:proofErr w:type="spellStart"/>
      <w:r>
        <w:t>cessus</w:t>
      </w:r>
      <w:proofErr w:type="spellEnd"/>
      <w:r>
        <w:t xml:space="preserve">’ prisavslagskrav er omfattet av veritasansvaret. Det gir ikke mening om det skulle foreligge ansvarsgrunnlag uten at det også foreligger mislighold. </w:t>
      </w:r>
    </w:p>
  </w:comment>
  <w:comment w:id="11" w:author="Knut Sande" w:date="2019-11-28T08:32:00Z" w:initials="ks">
    <w:p w14:paraId="1569E742" w14:textId="6AB6E59A" w:rsidR="00603D3F" w:rsidRDefault="00603D3F">
      <w:pPr>
        <w:pStyle w:val="Merknadstekst"/>
      </w:pPr>
      <w:r>
        <w:rPr>
          <w:rStyle w:val="Merknadsreferanse"/>
        </w:rPr>
        <w:annotationRef/>
      </w:r>
      <w:r>
        <w:t xml:space="preserve">Tror det siktes til </w:t>
      </w:r>
      <w:proofErr w:type="spellStart"/>
      <w:r>
        <w:t>kjl</w:t>
      </w:r>
      <w:proofErr w:type="spellEnd"/>
      <w:r>
        <w:t>. § 41</w:t>
      </w:r>
    </w:p>
  </w:comment>
  <w:comment w:id="12" w:author="Knut Sande" w:date="2019-08-20T17:52:00Z" w:initials="KS">
    <w:p w14:paraId="2A3B607B" w14:textId="787FC6F7" w:rsidR="00954A7F" w:rsidRDefault="00954A7F">
      <w:pPr>
        <w:pStyle w:val="Merknadstekst"/>
      </w:pPr>
      <w:r>
        <w:rPr>
          <w:rStyle w:val="Merknadsreferanse"/>
        </w:rPr>
        <w:annotationRef/>
      </w:r>
      <w:r>
        <w:t xml:space="preserve">Og det er helt riktig. MEN: Når det som selges er et pengekrav, er det objektivt ansvar for etterfølgende rettsmangler også, </w:t>
      </w:r>
      <w:proofErr w:type="spellStart"/>
      <w:r>
        <w:t>jf</w:t>
      </w:r>
      <w:proofErr w:type="spellEnd"/>
      <w:r>
        <w:t xml:space="preserve"> </w:t>
      </w:r>
      <w:proofErr w:type="spellStart"/>
      <w:r>
        <w:t>gbl</w:t>
      </w:r>
      <w:proofErr w:type="spellEnd"/>
      <w:r>
        <w:t>. § 9</w:t>
      </w:r>
    </w:p>
  </w:comment>
  <w:comment w:id="13" w:author="Knut Sande" w:date="2019-11-28T08:32:00Z" w:initials="ks">
    <w:p w14:paraId="3B5D7A83" w14:textId="7797AD8F" w:rsidR="003B030A" w:rsidRDefault="003B030A">
      <w:pPr>
        <w:pStyle w:val="Merknadstekst"/>
      </w:pPr>
      <w:r>
        <w:rPr>
          <w:rStyle w:val="Merknadsreferanse"/>
        </w:rPr>
        <w:annotationRef/>
      </w:r>
      <w:proofErr w:type="gramStart"/>
      <w:r>
        <w:t>…og</w:t>
      </w:r>
      <w:proofErr w:type="gramEnd"/>
      <w:r>
        <w:t xml:space="preserve"> det er det</w:t>
      </w:r>
    </w:p>
  </w:comment>
  <w:comment w:id="14" w:author="Knut Sande" w:date="2019-11-28T08:32:00Z" w:initials="ks">
    <w:p w14:paraId="102B78B6" w14:textId="57AC1D7D" w:rsidR="008133D1" w:rsidRDefault="008133D1">
      <w:pPr>
        <w:pStyle w:val="Merknadstekst"/>
      </w:pPr>
      <w:r>
        <w:rPr>
          <w:rStyle w:val="Merknadsreferanse"/>
        </w:rPr>
        <w:annotationRef/>
      </w:r>
      <w:proofErr w:type="gramStart"/>
      <w:r>
        <w:t>…etter</w:t>
      </w:r>
      <w:proofErr w:type="gramEnd"/>
      <w:r>
        <w:t xml:space="preserve"> </w:t>
      </w:r>
      <w:proofErr w:type="spellStart"/>
      <w:r>
        <w:t>kjl</w:t>
      </w:r>
      <w:proofErr w:type="spellEnd"/>
      <w:r>
        <w:t xml:space="preserve">. § 41 (2). Men </w:t>
      </w:r>
      <w:proofErr w:type="spellStart"/>
      <w:r>
        <w:t>gbl</w:t>
      </w:r>
      <w:proofErr w:type="spellEnd"/>
      <w:r>
        <w:t>. § 9 hjemler altså objektivt ansvar</w:t>
      </w:r>
    </w:p>
  </w:comment>
  <w:comment w:id="15" w:author="Knut Sande" w:date="2019-08-20T17:58:00Z" w:initials="KS">
    <w:p w14:paraId="51E1C0CE" w14:textId="5CA935DB" w:rsidR="0081170F" w:rsidRDefault="0081170F">
      <w:pPr>
        <w:pStyle w:val="Merknadstekst"/>
      </w:pPr>
      <w:r>
        <w:rPr>
          <w:rStyle w:val="Merknadsreferanse"/>
        </w:rPr>
        <w:annotationRef/>
      </w:r>
      <w:r>
        <w:t>Enig</w:t>
      </w:r>
    </w:p>
  </w:comment>
  <w:comment w:id="16" w:author="Knut Sande" w:date="2019-08-20T17:58:00Z" w:initials="KS">
    <w:p w14:paraId="3BEC4141" w14:textId="2C6ED9C4" w:rsidR="00F36014" w:rsidRDefault="00F36014">
      <w:pPr>
        <w:pStyle w:val="Merknadstekst"/>
      </w:pPr>
      <w:r>
        <w:rPr>
          <w:rStyle w:val="Merknadsreferanse"/>
        </w:rPr>
        <w:annotationRef/>
      </w:r>
      <w:r>
        <w:t>Enig</w:t>
      </w:r>
    </w:p>
  </w:comment>
  <w:comment w:id="17" w:author="Knut Sande" w:date="2019-08-20T17:59:00Z" w:initials="KS">
    <w:p w14:paraId="0D36C3BF" w14:textId="444F4216" w:rsidR="000C1B3C" w:rsidRDefault="000C1B3C">
      <w:pPr>
        <w:pStyle w:val="Merknadstekst"/>
      </w:pPr>
      <w:r>
        <w:rPr>
          <w:rStyle w:val="Merknadsreferanse"/>
        </w:rPr>
        <w:annotationRef/>
      </w:r>
      <w:r>
        <w:t>Ja, helt riktig, men det bør kunne gå an å resonnere seg frem til samme regel uten å vise til hva som er «sikker rett». Ordlyd + oppfatningene i juridisk teori ++</w:t>
      </w:r>
      <w:r w:rsidR="00FC7140">
        <w:t xml:space="preserve"> =&gt; «Skadesløs transport» = </w:t>
      </w:r>
      <w:proofErr w:type="spellStart"/>
      <w:r w:rsidR="00FC7140">
        <w:t>bonitasansvar</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402FC" w15:done="0"/>
  <w15:commentEx w15:paraId="01E184B6" w15:done="0"/>
  <w15:commentEx w15:paraId="2A1E7525" w15:done="0"/>
  <w15:commentEx w15:paraId="1AEB6092" w15:done="0"/>
  <w15:commentEx w15:paraId="02D1AD54" w15:done="0"/>
  <w15:commentEx w15:paraId="7E78B22E" w15:done="0"/>
  <w15:commentEx w15:paraId="06E362FB" w15:done="0"/>
  <w15:commentEx w15:paraId="6709EF5E" w15:done="0"/>
  <w15:commentEx w15:paraId="16558FE2" w15:done="0"/>
  <w15:commentEx w15:paraId="2CC2F168" w15:done="0"/>
  <w15:commentEx w15:paraId="1569E742" w15:done="0"/>
  <w15:commentEx w15:paraId="2A3B607B" w15:done="0"/>
  <w15:commentEx w15:paraId="3B5D7A83" w15:done="0"/>
  <w15:commentEx w15:paraId="102B78B6" w15:done="0"/>
  <w15:commentEx w15:paraId="51E1C0CE" w15:done="0"/>
  <w15:commentEx w15:paraId="3BEC4141" w15:done="0"/>
  <w15:commentEx w15:paraId="0D36C3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t Sande">
    <w15:presenceInfo w15:providerId="AD" w15:userId="S-1-5-21-1927809936-1189766144-1318725885-389773"/>
  </w15:person>
  <w15:person w15:author="knut sande">
    <w15:presenceInfo w15:providerId="Windows Live" w15:userId="331b686e4a6240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DB"/>
    <w:rsid w:val="00013E50"/>
    <w:rsid w:val="00022F2A"/>
    <w:rsid w:val="000C1B3C"/>
    <w:rsid w:val="00303368"/>
    <w:rsid w:val="00367850"/>
    <w:rsid w:val="003B030A"/>
    <w:rsid w:val="003B0A7D"/>
    <w:rsid w:val="004343F6"/>
    <w:rsid w:val="00506B47"/>
    <w:rsid w:val="00603D3F"/>
    <w:rsid w:val="00642C59"/>
    <w:rsid w:val="007F0427"/>
    <w:rsid w:val="0081170F"/>
    <w:rsid w:val="008133D1"/>
    <w:rsid w:val="00835888"/>
    <w:rsid w:val="00863713"/>
    <w:rsid w:val="00885B86"/>
    <w:rsid w:val="0090071A"/>
    <w:rsid w:val="009467DB"/>
    <w:rsid w:val="00954A7F"/>
    <w:rsid w:val="00984CA1"/>
    <w:rsid w:val="009B53D6"/>
    <w:rsid w:val="009E1C9F"/>
    <w:rsid w:val="00A74E54"/>
    <w:rsid w:val="00AD3333"/>
    <w:rsid w:val="00B10141"/>
    <w:rsid w:val="00B229E2"/>
    <w:rsid w:val="00B33D1F"/>
    <w:rsid w:val="00B761C2"/>
    <w:rsid w:val="00C86D35"/>
    <w:rsid w:val="00D51AF7"/>
    <w:rsid w:val="00D927C4"/>
    <w:rsid w:val="00E7586D"/>
    <w:rsid w:val="00F36014"/>
    <w:rsid w:val="00F5125C"/>
    <w:rsid w:val="00FC71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78DC"/>
  <w15:chartTrackingRefBased/>
  <w15:docId w15:val="{7630E826-C333-4A48-9AFC-B0515A6C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B53D6"/>
    <w:rPr>
      <w:sz w:val="16"/>
      <w:szCs w:val="16"/>
    </w:rPr>
  </w:style>
  <w:style w:type="paragraph" w:styleId="Merknadstekst">
    <w:name w:val="annotation text"/>
    <w:basedOn w:val="Normal"/>
    <w:link w:val="MerknadstekstTegn"/>
    <w:uiPriority w:val="99"/>
    <w:semiHidden/>
    <w:unhideWhenUsed/>
    <w:rsid w:val="009B53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B53D6"/>
    <w:rPr>
      <w:sz w:val="20"/>
      <w:szCs w:val="20"/>
    </w:rPr>
  </w:style>
  <w:style w:type="paragraph" w:styleId="Kommentaremne">
    <w:name w:val="annotation subject"/>
    <w:basedOn w:val="Merknadstekst"/>
    <w:next w:val="Merknadstekst"/>
    <w:link w:val="KommentaremneTegn"/>
    <w:uiPriority w:val="99"/>
    <w:semiHidden/>
    <w:unhideWhenUsed/>
    <w:rsid w:val="009B53D6"/>
    <w:rPr>
      <w:b/>
      <w:bCs/>
    </w:rPr>
  </w:style>
  <w:style w:type="character" w:customStyle="1" w:styleId="KommentaremneTegn">
    <w:name w:val="Kommentaremne Tegn"/>
    <w:basedOn w:val="MerknadstekstTegn"/>
    <w:link w:val="Kommentaremne"/>
    <w:uiPriority w:val="99"/>
    <w:semiHidden/>
    <w:rsid w:val="009B53D6"/>
    <w:rPr>
      <w:b/>
      <w:bCs/>
      <w:sz w:val="20"/>
      <w:szCs w:val="20"/>
    </w:rPr>
  </w:style>
  <w:style w:type="paragraph" w:styleId="Bobletekst">
    <w:name w:val="Balloon Text"/>
    <w:basedOn w:val="Normal"/>
    <w:link w:val="BobletekstTegn"/>
    <w:uiPriority w:val="99"/>
    <w:semiHidden/>
    <w:unhideWhenUsed/>
    <w:rsid w:val="009B53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5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247-5061-4722-A46B-2F5BE51C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3630</Words>
  <Characters>19240</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3</cp:revision>
  <dcterms:created xsi:type="dcterms:W3CDTF">2020-03-06T11:02:00Z</dcterms:created>
  <dcterms:modified xsi:type="dcterms:W3CDTF">2020-04-20T20:04:00Z</dcterms:modified>
</cp:coreProperties>
</file>